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Отчет о достижении показателей, установленных планом мероприятий («дорожной картой») 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>по содействию развитию конкуренции в Гайском городском округе на 2022– 2025 годы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по итогам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I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полугодия </w:t>
      </w:r>
      <w:r>
        <w:rPr>
          <w:rFonts w:ascii="Times New Roman" w:hAnsi="Times New Roman"/>
          <w:color w:val="000000"/>
          <w:sz w:val="20"/>
          <w:szCs w:val="20"/>
        </w:rPr>
        <w:t>2024 года</w:t>
      </w:r>
    </w:p>
    <w:p>
      <w:pPr>
        <w:pStyle w:val="Style18"/>
        <w:suppressAutoHyphens w:val="true"/>
        <w:jc w:val="center"/>
        <w:rPr>
          <w:color w:val="000000"/>
          <w:sz w:val="20"/>
        </w:rPr>
      </w:pPr>
      <w:r>
        <w:rPr>
          <w:color w:val="000000"/>
          <w:sz w:val="20"/>
        </w:rPr>
      </w:r>
      <w:bookmarkStart w:id="0" w:name="_GoBack"/>
      <w:bookmarkStart w:id="1" w:name="_GoBack"/>
      <w:bookmarkEnd w:id="1"/>
    </w:p>
    <w:tbl>
      <w:tblPr>
        <w:tblW w:w="16047" w:type="dxa"/>
        <w:jc w:val="left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52"/>
        <w:gridCol w:w="14"/>
        <w:gridCol w:w="2834"/>
        <w:gridCol w:w="1"/>
        <w:gridCol w:w="2128"/>
        <w:gridCol w:w="849"/>
        <w:gridCol w:w="852"/>
        <w:gridCol w:w="708"/>
        <w:gridCol w:w="2153"/>
        <w:gridCol w:w="1191"/>
        <w:gridCol w:w="4763"/>
      </w:tblGrid>
      <w:tr>
        <w:trPr>
          <w:trHeight w:val="265" w:hRule="atLeast"/>
        </w:trPr>
        <w:tc>
          <w:tcPr>
            <w:tcW w:w="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ключевого показателя (единица измерения)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Числовое значение показателя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Источник данных для расчета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Методика расчета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Информация о реализации мероприятия в отчетном периоде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58" w:hRule="atLeast"/>
        </w:trPr>
        <w:tc>
          <w:tcPr>
            <w:tcW w:w="56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мес. 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 </w:t>
            </w: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Рынок семеноводства</w:t>
            </w:r>
          </w:p>
        </w:tc>
      </w:tr>
      <w:tr>
        <w:trPr>
          <w:trHeight w:val="1519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Оказание информационной помощи субъектам предпринимательства, осуществляющим (планирующим осуществлять) деятельность на рынке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на рынке семеноводства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течение года оказывается методическая и консультативная помощь. Также на официальном сайте администрации Гайского городского округа размещается вся необходимая информация. На территории Гайского городского округа деятельность в области семеноводства осуществляют 4 семеноводческих хозяйства.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:lang w:val="ru-RU" w:bidi="ar-SA"/>
              </w:rPr>
              <w:t>2. Рынок услуг связи, в том числе услуг по предоставлению широкополосного доступа к сети «Интернет»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Предоставление муниципальной собственности для использования операторами связи с целью размещения и строительства сетей и сооружений связи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доля организаций частной формы собственности в сфере оказания услуг по предоставлению широкополосного доступа к сети «Интернет»(процентов)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Участниками рынка связи, в том числе услуг по предоставлению широкополосного доступа к сети «Интернет» являются 7 операторов связи. 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 они относятся к частной форме собственности и создают конкурентную среду, позволяющую повышать качество услуг и формировать ценовую политику.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3.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Рынок выполнения работ по благоустройству городской среды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информационно-консультационной поддержки негосударственным организациям и ИП, осуществляющим деятельность в сфере выполнения работ по благоустройству городской среды, по вопросам формирования комфортной городской среды в рамках реализации федерального проекта «Формирование комфортной городской среды»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</w:rPr>
              <w:t>доли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рамках реализации регионального проекта «Формирование комфортной городской среды» в Гайском городском округе выполнены следующие мероприятия: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19.01.2024 года заключено дополнительное соглашение к Соглашению о предоставлении субсидии из бюджета Оренбургской области бюджету Гайского городского округа Оренбургской области на реализацию программ формирования современной городской среды от 24 января 2023г. № 53713000-1-2023-004, согласно которому общий объем бюджетных ассигнований, предусматриваемых в бюджете ГГО на финансовое обеспечение расходных обязательств в целях софинансирования которых предоставляется субсидия в 2024 году составляет 16597400 рублей.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Работы по муниципальному контракту № 0853500000323005170 выполнены в полном объеме. Муниципальный контракт оплачен в феврале 2024 года.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 15 марта по 30 апреля 2024 года на платформе ФКГС проходило голосование за объекты благоустройства по программе «Формирование комфортной городской среды».  Всего в голосовании приняли участие 9395 человек, при плане 9300. Их голоса распределились следующим образом: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Сквер по ул. Коммунистической (2 этап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часть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 - 5119;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Сквер по ул. Ленина 9 (территория за кинотеатром «Юность») - 2490;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Сквер по ул. Орской (от пр. Победы д о пер. Парковый)- 1293;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Сквер по ул. Молодежной 10 (территория, прилегающая к ГАПОУ «Орский индустриальный колледж») - 493.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благоустройстве Сквера по ул. Коммунистической (2 этап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часть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 планируется строительство спортивной и детской игровой площадки. Также запланированы: установка опор освещения со светильниками, установка камер видеонаблюдения, покрытие из тротуарной плитки, площадки с прорезиненным покрытием, установка лавочек и урн, озеленение территории.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Согласно проектной документации сумма для производства данных работ составляет 15 086 211,51 рублей.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4.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мероприятий по исполнению требований законодательства в части исполнения обязательств по выбору способа управления многоквартирным домом, где собственники помещений многоквартирного дома не определились с выбором способа управления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доли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Управление в многоквартирных домах, Гайского городского округа </w:t>
            </w:r>
            <w:hyperlink r:id="rId2"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val="ru-RU" w:eastAsia="ru-RU"/>
                </w:rPr>
                <w:t>о</w:t>
              </w:r>
            </w:hyperlink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 w:eastAsia="ru-RU"/>
              </w:rPr>
              <w:t>существляется управляющими компаниями, дома находящиеся на непосредственном способе управления заключили договор на оказание аварийных услуг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в открытом доступе информации о многоквартирных домах, находящихся на стадии завершения строительства, а также о сдаче указанных объектов с указанием срока ввода в эксплуатацию для обеспечения возможности участия в конкурсах по отбору управляющих организаций для управления такими домами большего количества управляющих организаций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35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Формирование документации проведения аукционов (конкурсов) в электронной форме на право заключения муниципальных контрактов на выполнение работ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Проведено 22 электронных запроса котировок, из них 8 признаны несостоявшимися.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с учетом предложений, поступивших от перевозчиков негосударственных форм собственности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Открытые конкурсы на право осуществления перевозок по муниципальным маршрутам регулярных перевозок автомобильным транспортом по нерегулируемым тарифам с учетом предложений, поступивших от перевозчиков негосударственных форм собственности не проводились.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Корректировка документа планирования регулярных перевозок с учетом полученной информации по результатам мониторинга пассажиропотока и потребностей Гайского городского округа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Корректировка документа планирования регулярных перевозок не проводилась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в муниципальные контракты на выполнение работ по перевозке пассажиров, связанные с осуществлением регулярных перевозок по муниципальным маршрутам регулярных перевозок по регулируемым тарифам, возможности привлечения к исполнению контрактов соисполнителей из числа субъектов МСП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закупок были проведены с преимуществом для  субъектов МСП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  <w:lang w:eastAsia="ru-RU"/>
              </w:rPr>
              <w:t>6. Рынок оказания услуг по ремонту автотранспортных средств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Оказание организационно-методической и информационно-консультационной поддержки негосударственным организациям и ИП, осуществляющим деятельность в сфере оказания услуг по ремонту автотранспортных средств, по вопросам организации деятельности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 xml:space="preserve">доля </w:t>
            </w:r>
            <w:r>
              <w:rPr>
                <w:rStyle w:val="Fontstyle01"/>
                <w:color w:val="000000"/>
                <w:sz w:val="20"/>
                <w:szCs w:val="20"/>
                <w:lang w:val="ru-RU"/>
              </w:rPr>
              <w:t>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мере необходимости предоставляется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организационно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-методическая и </w:t>
            </w: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информационно-консультационной поддержка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7. Рынок услуг розничной торговли лекарственными препаратами,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медицинскими изделиями и сопутствующими товарами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Оказание информационно-консультационной поддержки негосударственным организациям и ИП, осуществляющим фармацевтическую деятельность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По состоянию на 01.07.2024 года рынок фармацевтических услуг Гайского городского округа представлен 22 объектами, осуществляющим розничную торговлю лекарственными препаратами для медицинского применения, в том числе 20 аптеками, 2 аптечными пунктами. Из 22 аптечных организаций: 1 государственная, 21 частная организация и ИП.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  <w:lang w:eastAsia="ru-RU"/>
              </w:rPr>
              <w:t>8. Рынок ритуальных услуг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Организация инвентаризации кладбищ и мест захоронений на них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организаций частной формы собственности в сфере оказания услуг по предоставлению широкополосного доступа к сети «Интернет» (процентов)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Инвентаризация не проводилась.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Ведение реестров кладбищ и мест захоронений по результатам инвентаризации, с размещением указанных реестров на официальных сайтах органов местного самоуправления в сети «Интернет»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Реестр кладбищ и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мест захоронений размещен  на официальном сайте  администрации Гайского городского округа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размещение информации об объектах, предоставляющих услуги по организации похорон и связанные с ними услуги на официальном сайте администрации Гайского городского округа в сети «Интернет», курирующего сферу ритуальных услуг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85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9. Рынок кадастровых и землеустроительных работ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выявления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</w:rPr>
              <w:t>доли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рынке кадастровых и землеустроительных работ Гайского городского округа действуют 2 хозяйствующих субъекта, основным видом экономической деятельности которых является проведение кадастровых работ, землеустройства. Оба хозяйствующих субъекта 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относятся к частной форме собственности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  <w:t>10. Рынок строительства объектов капитального строительства (за исключением жилищного и дорожного строительства)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16.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Внесение в ГИСОГД сведений о правилах землепользования и застройки муниципальных образований, документации по планировке территории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доли организаций частной формы собственности в сфере строительства объектов капитального строительства (за исключением жилищного и дорожного строительства)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В 1 полугодии 2024 года в ГИСОГД вносились сведения о правилах землепользования и застройки муниципального образования Гайский Городской округ - 6.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17.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Обеспечение предоставления государственных (муниципальных) услуг по выдаче градостроительного плана земельного участка исключительно в электронном виде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За первое полугодие 2024 года поступило 9 обращений по предоставлению государственных (муниципальных) услуг по выдаче градостроительного плана земельного участка.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18.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Обеспечение предоставления государственных (муниципальных) услуг по выдаче разрешения на строительство, а также разрешения на ввод объекта в эксплуатацию исключительно в электронном виде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За первое полугодие 2024 года было выдано 2</w:t>
            </w:r>
            <w:r>
              <w:rPr>
                <w:rFonts w:cs="Times New Roman" w:ascii="Times New Roman" w:hAnsi="Times New Roman"/>
                <w:color w:val="000000"/>
                <w:sz w:val="20"/>
                <w:shd w:fill="auto" w:val="clear"/>
                <w:lang w:eastAsia="ru-RU"/>
              </w:rPr>
              <w:t xml:space="preserve"> разрешения на ввод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объекта в эксплуатацию.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19.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Обеспечение опубликования и актуализации на официальном сайте администрации Гайского городского округа сети «Интернет» административных регламентов предоставления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11. Рынок услуг детского отдыха и оздоровления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информационно-консультационной поддержки негосударственным организациям и ИП, осуществляющим деятельность в сфере детского отдыха и оздоровления, по вопросам организации детского отдыха и оздоровления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организаций частной формы собственности в сфере услуг детского отдыха и оздоровления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 Рынок добычи общераспространенных полезных ископаемых на участках недр местного значения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производителей к участию в областных и межрегиональных выставках для презентации товара, организации межрегионального сотрудничества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организаций частной формы собственности в сфере добычи общераспространенных полезных ископаемых на участках недр местного значения (процентов)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 территории Гайского городского округа 4 организации имеют лицензии на право пользования участками недр местного значения, содержащими общераспространенные полезные ископаемые, все они частной формы собственности.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13. Сфера наружной рекламы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Выявление и осуществление демонтажа незаконных рекламных конструкций, развитие сегмента цифровых форматов, внедрение современных и инновационных рекламоносителей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 xml:space="preserve">доля организаций частной формы собственности в сфере </w:t>
            </w: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наружной рекламы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 1 полугодие 2024 года не выявлено фактов размещения  незаконных рекламных конструкций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Актуализация схем размещения рекламных конструкций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1 полугодие 2024 года схема размещения рекламных конструкций не актуализировалась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на официальных сайтах ОМСУ перечня всех нормативных правовых актов и местных локальных актов, регулирующих сферы наружной рекламы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849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Соблюдение принципов открытости и прозрачности при проведении торгов на право установки и эксплуатации рекламных конструкций, проведение торгов в электронном виде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Торги не проводились</w:t>
            </w:r>
          </w:p>
        </w:tc>
      </w:tr>
      <w:tr>
        <w:trPr>
          <w:trHeight w:val="340" w:hRule="atLeast"/>
        </w:trPr>
        <w:tc>
          <w:tcPr>
            <w:tcW w:w="160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 Рынок туристических и рекреационных услуг</w:t>
            </w:r>
          </w:p>
        </w:tc>
      </w:tr>
      <w:tr>
        <w:trPr>
          <w:trHeight w:val="1849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проведение образовательных мероприятий (семинаров, вебинаров, мастер-классов, образовательных программ) с целью повышения квалификации представителей хозяйствующих субъектов, осуществляющих туристическую деятельность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собственности, ИП в сфере туризма от общего количества организаций в сфере туризма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345" w:hRule="atLeast"/>
        </w:trPr>
        <w:tc>
          <w:tcPr>
            <w:tcW w:w="160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firstLine="85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 Рынок розничной торговли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мониторинга с целью определения административных барьеров экономических ограничений и иных факторов, являющихся барьерами входа на рынок (выход с рынка) и их устранение</w:t>
            </w:r>
          </w:p>
        </w:tc>
        <w:tc>
          <w:tcPr>
            <w:tcW w:w="21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увеличение количества НТО и торговых мест под них к 2025 году по отношению к уровню 2021 года</w:t>
            </w:r>
          </w:p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Мониторинг с целью определения административных барьеров экономических ограничений и иных факторов, являющихся барьерами входа на рынок (выход с рынка) и их устранение проводиться по мере необходимости.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 участием предпринимательского сообщества подготовка изменений в схему размещения НТО (увеличение количества мест под размещение НТО)</w:t>
            </w:r>
          </w:p>
        </w:tc>
        <w:tc>
          <w:tcPr>
            <w:tcW w:w="21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Изменения в схему размещения НТО вносились в феврале 2024 года постановлением администрации Гайского городского округа от 12.02.2024 № 265-пА «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Об утверждении схемы размещения нестационарных торговых объектов на территории Гайского городского округа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»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открытых опросов предпринимателей в целях определения спроса/потребности в предоставлении мест под размещение НТО</w:t>
            </w:r>
          </w:p>
        </w:tc>
        <w:tc>
          <w:tcPr>
            <w:tcW w:w="21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1 полугодии 2024 году проводились открытые опросы предпринимателей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 целях определения спроса/потребности в предоставлении мест под размещение НТО. По итогам опроса были предоставлены земельные участки на конкурсной основе.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Утверждение актуализированной схемы размещения НТО</w:t>
            </w:r>
          </w:p>
        </w:tc>
        <w:tc>
          <w:tcPr>
            <w:tcW w:w="21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Постановление администрации Гайского городского округа от 12.02.2024 № 265-пА «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Об утверждении схемы размещения нестационарных торговых объектов на территории Гайского городского округа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»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16. Рынок услуг дополнительного образования детей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Повышение качества профессиональной подготовки педагогических кадров</w:t>
            </w:r>
          </w:p>
        </w:tc>
        <w:tc>
          <w:tcPr>
            <w:tcW w:w="21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Показатели ежеквартального мониторинга регионального проекта «Успех каждого ребенка»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3"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eastAsia="ru-RU"/>
                </w:rPr>
                <w:t>https://disk.yandex.ru/edit/d/mmT6maKTLk6MY1FI4wDStCPegnqahzm72s0qoIz-cKg6RlBodVdPR0xIZw</w:t>
              </w:r>
            </w:hyperlink>
          </w:p>
        </w:tc>
        <w:tc>
          <w:tcPr>
            <w:tcW w:w="11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V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= </w:t>
            </w: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Vn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/</w:t>
            </w: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Vo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*100%</w:t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Педагоги дополнительного образования приняли участие в: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курсы повышения квалификации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курсы переподготовки;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краткосрочные;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аттестация педагогических работников;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ММО (муниципальное методическое объединение) педагогов дополнительного образования;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4" w:leader="none"/>
              </w:tabs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вебинары, семинары, научно-практические конференции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Материально-техническое и информационное обеспечение дополнительных образовательных учреждений</w:t>
            </w:r>
          </w:p>
        </w:tc>
        <w:tc>
          <w:tcPr>
            <w:tcW w:w="21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 (УДО)  обеспечены необходимыми техническими средствами, подключены к сети Интернет.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 УДО имеют официальные сайты, странички в социальных сетях. Проводилась работа по сохранению  и  развитие сети УДО. Созданы условия для развития дополнительного образования.  Сохранены  реализуемые образовательные программы  по приоритетным направлениям дополнительного образования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Работа муниципального опорного центра  (МОЦ) дополнительного образования на базе МАУДО ЦДТ «Радуга»</w:t>
            </w:r>
          </w:p>
        </w:tc>
        <w:tc>
          <w:tcPr>
            <w:tcW w:w="21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Оказана методическая помощь в развитии дополнительного образования организациям дополнительного образования всех форм собственности, регистрация детей на портале дополнительного образования Навигатор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Системные мероприятия, направленные на развитие конкурентной среды 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tbl>
      <w:tblPr>
        <w:tblW w:w="145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4269"/>
        <w:gridCol w:w="4983"/>
        <w:gridCol w:w="4748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Наименование системного мероприятия, направленного на содействие развитию конкуренции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Информация о реализации мероприятия, направленного на содействие развитию конкуренции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1. Повышение информированности потребителей о реализации муниципальной политики по развитию конкуренции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ListParagraphChar"/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Размещение на официальном сайте администрации Гайского городского округа в сети «Интернет» информации о результатах реализации муниципальной политики по развитию конкуренции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ListParagraphChar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ru-RU"/>
              </w:rPr>
              <w:t>На официальном сайте администрации Гайского городского округа размещается информации о результатах реализации муниципальной политики по развитию конкуренции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2. Развитие конкурентоспособности товаров, работ, услуг субъектов МСП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организационно-методической и информационно-консультационной поддержки субъектам МСП по сертификации продукции, выходу на электронные площадки, проведение рекламных кампаний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По мере необходимости оказывается  организационно-методической и информационно-консультационной поддержка субъектам МСП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комплекса услуг, сервисов и мер поддержки субъектам МСП, в том числе финансовых (кредитных, гарантийных, лизинговых) услуг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Предусмотрена финансовая поддержка (грант в форме субсидии) во втором полугодие 2024 года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3.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организационно-методической и информационно-консультационной поддержки заказчикам и участникам закупок, в том числе являющимся субъектами МСП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Оказывалась информационно-консультационная поддержка заказчикам и участникам закупок, в том числе являющимся субъектами МСП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муниципальных закупок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образовательных мероприятий (семинаров, вебинаров, мастер-классов, образовательных программ) для участников закупок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 1 полугодие 2024 года образовательные мероприятия (семинары, вебинары, мастер-классы, образовательные программы) для участников закупок не проводились.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муниципальных закупок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4. Устранение избыточного муниципального регулирования, а также снижение административных барьеров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в порядки проведения оценки регулирующего воздействия проектов нормативных правовых актов Гайского городского округа и экспертизы нормативных правовых актов Гайского городского округа, устанавливаемых в соответствии с Федеральным законом от 06.10.2003 № 131-ФЗ «Об общих принципах организации местного самоуправления в Российской Федерации», пунктов, предусматривающих анализ воздействия таких проектов актов на состояние конкуренции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TitlePage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По мере необходимости вносятся изменения в  постановление администрации города Гая от 24.02.2016 года № 211-пА «Об утверждении порядков проведения оценки регулирующего воздействия проектов нормативных правовых актов и экспертизы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Оптимизация процесса предоставления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На основании решения Совета депутатов Гайского городского округа от 26.09.2019 № 399 утвержден расчет льготной ставки арендной платы, применяемый в договорах аренды с субъектами МСП, «самозанятыми» гражданами.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5. 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муниципальной собственности, а также ограничение влияния муниципальных предприятий на конкуренцию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составление плана-графика полной инвентаризации муниципального имущества, в том числе закрепленного за предприятиями, учреждениями;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прогнозный план (программу) по приватизации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Инвентаризация муниципального имущества в 1 полугодие 2024 года не проводилась.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Приватизация либо перепрофилирование (изменение целевого назначения)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организация и проведение публичных торгов или иных конкурентных способов определения поставщиков (подрядчиков, исполнителей) по реализации или предоставлении во владение и (или) пользование, в том числе субъектам МСП,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перепрофилирование (изменение целевого назначения) муниципального имущества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 1 полугодии 202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4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года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были проведены публичные торги по реализации или предоставлении во владение и (или) пользование, в том числе субъектам МСП, по итогам которых были заключены 3 контракта.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Опубликование на сайте администрации Гайского городского округа, информации о возможности предоставления земельных участков для целей жилищного и иного строительства в соответствии с статьями 39.12, 39.18 Земельного кодекса Российской Федерации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Информация на сайте администрации Гайского городского округа не размещалась.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6. Создание условий для недискриминационного доступа хозяйствующих субъектов на товарные рынки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Рассмотрение обращений субъектов предпринимательской деятельности, потребителей товаров, работ и услуг и общественных организаций, представляющих интересы потребителей, по вопросам содействия развитию конкуренции, относящимся к полномочиям органов местного самоуправления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Обращений не поступало.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проведение образовательных мероприятий (семинаров, вебинаров, мастер-классов, образовательных программ) с целью выявления административных барьеров и проблем, препятствующих развитию конкуренции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7. Содействие развитию негосударственных (немуниципальных) СОНКО и «социального предпринимательства»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Публикация на сайте администрации Гайского городского округа об оказании комплекса услуг, сервисов и мер поддержки в центре «Мой бизнес»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8.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проведении образовательных мероприятий (семинаров, вебинаров, мастер-классов, образовательных программ) для субъектов МСП, самозанятых граждан и лиц, планирующих начать предпринимательскую деятельность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9. 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социальную поддержку молодых специалистов в различных сферах экономической деятельности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Конкурсная поддержка организаций, педагогических работников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1. Муниципальный конкурс профессионального мастерства педагогов дополнительного образования «Сердце отдаю детям»;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2. Муниципальная научно-практическая конференция педагогов дополнительного образования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образования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ежегодных конкурсов, соревнований, направленных на выявление одаренных детей и молодежи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1. Муниципальный этап областного дистанционного турнира по медийно-информационной грамотности #Знаю МИГ;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2. Муниципальный конкурс «Ученик года»;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3. Муниципальный конкурс чтецов;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4. Муниципальный квиз «Родной край»;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5. Муниципальный фестиваль «Талант. Музыка. Дети»;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6. Муниципальный фестиваль «Долг. Честь. Родина»;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7. Муниципальный этап областного смотра конкурса школьных музеев;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8. Муниципальный этап областного фестиваля детского и юношеского художественного творчества «Зажги свою звезду»;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9. Муниципальная конференция обучающихся «Галилео»;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10. Муниципальный этап областного краеведческого фестиваля «Оренбургский край - земля родная»;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11. Муниципальный этап областного туристического слета;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 xml:space="preserve">12.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Муниципальный конкурс НТМ «Мастерилка»;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13. Муниципальная выставка НТМ, посвящённая Дню детских изобретений «Дети. Фантазия. Творчество»;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14. Муниципальный этап игры «Что? Где? Когда?»;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 xml:space="preserve">15.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Муниципальный конкурс «Марья-искусница»;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16. Муниципальная выставка декоративно-прикладного творчества и швейного мастерства «Радуга талантов»;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17. Муниципальный конкурс детского творчества по противопожарной безопасности «Неопалимая купина».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образования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10. Обеспечение равных условий доступа к информации о муниципальном имуществе Гайского городского округа, в том числе имуществе, включаемом в перечни для предоставления на льготных условиях субъектам МСП,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(www.torgi.gov.ru) и на официальном сайте администрации Гайского городского округа (далее - уполномоченный орган) в сети «Интернет»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информации на официальном сайте Российской Федерации для размещения информации о проведении торгов (www.torgi.gov.ru) и на официальном сайте уполномоченного органа в сети «Интернет» о приватизации имущества, находящегося в муниципальной собственности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Опубликование и актуализация сведений об объектах муниципальной собственности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Расширение перечней муниципального имущества, предназначенного для предоставления субъектам МСП и организациям, образующим инфраструктуру поддержки субъектов МСП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Перечень муниципального имущества, предназначенного для предоставления субъектам СМП дополнен 1 объектом помещением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11. Разработка и утверждение типовых административных регламентов предоставления муниципальных услуг по выдаче разрешений на строительство и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Мониторинг текущих изменений Градостроительного кодекса  Российской Федерации, иных федеральных законов в области градостроительной деятельности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-Административный регламент от 12.01.2024 №09-пА «Выдача градостроительного плана земельного участка»;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-Административный регламент от 12.01.2024 №10-пА «Предоставление разрешения на условно разрешенный вид использования земельного участка или объекта капитального строительства»;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Административный регламент от 12.01.2024 №11-пА «Предоставление разрешения на отклонение от предельных параметров разрешенного строительства, реконструкции объекта капитального строительства»;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-Административный регламент от 09.02.2024 №254-пА «Выдача разрешения на ввод объекта в эксплуатацию»;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Административный регламент от 20.02.2024 №307-пА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-Административный регламент от 07.03.2024 №393-пА «Согласование проведения переустройства и (или) перепланировки помещения в многоквартирном доме»;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Административный регламент от 07.03.2024 №394-пА «Выдача разрешения на установку и эксплуатацию рекламных конструкций на территории Гайского городского округа, аннулирование такого разрешения»;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-Административный регламент от 22.04.2024 № 691-пА «Присвоение адреса объекту адресации. Изменение и аннулирование такого адреса».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Управление архитектуры и градостроительства администрации Гайского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tbl>
      <w:tblPr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928"/>
        <w:gridCol w:w="4929"/>
        <w:gridCol w:w="4929"/>
      </w:tblGrid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рынка</w:t>
            </w:r>
          </w:p>
        </w:tc>
        <w:tc>
          <w:tcPr>
            <w:tcW w:w="9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</w:t>
            </w:r>
          </w:p>
        </w:tc>
      </w:tr>
      <w:tr>
        <w:trPr/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реализованных на рынке товаров, работ, услуг (количество перевезенных пассажиров) в натуральном выражении всех хозяйствующих субъектов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реализованных на рынке товаров, работ, услуг (количество перевезенных пассажиров) в натуральном выражении организациями частной формы собственности</w:t>
            </w:r>
          </w:p>
        </w:tc>
      </w:tr>
      <w:tr>
        <w:trPr/>
        <w:tc>
          <w:tcPr>
            <w:tcW w:w="4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60285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5393</w:t>
            </w:r>
          </w:p>
        </w:tc>
      </w:tr>
    </w:tbl>
    <w:p>
      <w:pPr>
        <w:pStyle w:val="Normal"/>
        <w:spacing w:before="0" w:after="200"/>
        <w:rPr>
          <w:color w:val="000000"/>
        </w:rPr>
      </w:pPr>
      <w:r>
        <w:rPr>
          <w:color w:val="000000"/>
        </w:rPr>
      </w:r>
    </w:p>
    <w:sectPr>
      <w:headerReference w:type="default" r:id="rId4"/>
      <w:type w:val="nextPage"/>
      <w:pgSz w:orient="landscape" w:w="16838" w:h="11906"/>
      <w:pgMar w:left="1134" w:right="1134" w:gutter="0" w:header="709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man Old Style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80ee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Heading1Char"/>
    <w:uiPriority w:val="99"/>
    <w:qFormat/>
    <w:rsid w:val="00fc53ca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fc53ca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styleId="ListParagraphChar" w:customStyle="1">
    <w:name w:val="List Paragraph Char"/>
    <w:basedOn w:val="DefaultParagraphFont"/>
    <w:link w:val="ListParagraph"/>
    <w:uiPriority w:val="99"/>
    <w:qFormat/>
    <w:locked/>
    <w:rsid w:val="002b4cf2"/>
    <w:rPr>
      <w:rFonts w:ascii="Times New Roman" w:hAnsi="Times New Roman" w:cs="Times New Roman"/>
      <w:sz w:val="24"/>
      <w:szCs w:val="24"/>
      <w:lang w:eastAsia="ru-RU"/>
    </w:rPr>
  </w:style>
  <w:style w:type="character" w:styleId="Fontstyle01" w:customStyle="1">
    <w:name w:val="fontstyle01"/>
    <w:basedOn w:val="DefaultParagraphFont"/>
    <w:uiPriority w:val="99"/>
    <w:qFormat/>
    <w:rsid w:val="001335ab"/>
    <w:rPr>
      <w:rFonts w:ascii="Times New Roman" w:hAnsi="Times New Roman" w:cs="Times New Roman"/>
      <w:color w:val="000000"/>
      <w:sz w:val="24"/>
      <w:szCs w:val="24"/>
    </w:rPr>
  </w:style>
  <w:style w:type="character" w:styleId="Style13">
    <w:name w:val="Интернет-ссылка"/>
    <w:basedOn w:val="DefaultParagraphFont"/>
    <w:uiPriority w:val="99"/>
    <w:rsid w:val="00a737df"/>
    <w:rPr>
      <w:rFonts w:cs="Times New Roman"/>
      <w:color w:val="0000FF"/>
      <w:u w:val="single"/>
    </w:rPr>
  </w:style>
  <w:style w:type="character" w:styleId="HeaderChar" w:customStyle="1">
    <w:name w:val="Header Char"/>
    <w:basedOn w:val="DefaultParagraphFont"/>
    <w:uiPriority w:val="99"/>
    <w:qFormat/>
    <w:locked/>
    <w:rsid w:val="006b590a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sid w:val="006b590a"/>
    <w:rPr>
      <w:rFonts w:cs="Times New Roman"/>
    </w:rPr>
  </w:style>
  <w:style w:type="character" w:styleId="NormalWebChar" w:customStyle="1">
    <w:name w:val="Normal (Web) Char"/>
    <w:link w:val="NormalWeb"/>
    <w:uiPriority w:val="99"/>
    <w:qFormat/>
    <w:locked/>
    <w:rsid w:val="001226bb"/>
    <w:rPr>
      <w:rFonts w:ascii="Times New Roman" w:hAnsi="Times New Roman"/>
      <w:sz w:val="24"/>
    </w:rPr>
  </w:style>
  <w:style w:type="character" w:styleId="Applestylespan" w:customStyle="1">
    <w:name w:val="apple-style-span"/>
    <w:basedOn w:val="DefaultParagraphFont"/>
    <w:uiPriority w:val="99"/>
    <w:qFormat/>
    <w:rsid w:val="004e5a15"/>
    <w:rPr>
      <w:rFonts w:cs="Times New Roman"/>
    </w:rPr>
  </w:style>
  <w:style w:type="character" w:styleId="FootnoteTextChar" w:customStyle="1">
    <w:name w:val="Footnote Text Char"/>
    <w:basedOn w:val="DefaultParagraphFont"/>
    <w:uiPriority w:val="99"/>
    <w:qFormat/>
    <w:locked/>
    <w:rsid w:val="002130a0"/>
    <w:rPr>
      <w:rFonts w:ascii="Calibri" w:hAnsi="Calibri" w:cs="Times New Roman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00187b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uiPriority w:val="99"/>
    <w:qFormat/>
    <w:locked/>
    <w:rsid w:val="000a5c19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Основной текст + Полужирный"/>
    <w:uiPriority w:val="99"/>
    <w:qFormat/>
    <w:rsid w:val="00c55815"/>
    <w:rPr>
      <w:rFonts w:ascii="Times New Roman" w:hAnsi="Times New Roman"/>
      <w:b/>
      <w:sz w:val="27"/>
      <w:shd w:fill="FFFFFF" w:val="clear"/>
    </w:rPr>
  </w:style>
  <w:style w:type="character" w:styleId="CommentTextChar" w:customStyle="1">
    <w:name w:val="Comment Text Char"/>
    <w:basedOn w:val="DefaultParagraphFont"/>
    <w:uiPriority w:val="99"/>
    <w:qFormat/>
    <w:locked/>
    <w:rsid w:val="00903108"/>
    <w:rPr>
      <w:rFonts w:ascii="Times New Roman" w:hAnsi="Times New Roman" w:cs="Times New Roman"/>
      <w:sz w:val="20"/>
      <w:szCs w:val="20"/>
      <w:lang w:eastAsia="ru-RU"/>
    </w:rPr>
  </w:style>
  <w:style w:type="character" w:styleId="Logo" w:customStyle="1">
    <w:name w:val="logo"/>
    <w:basedOn w:val="DefaultParagraphFont"/>
    <w:uiPriority w:val="99"/>
    <w:qFormat/>
    <w:rsid w:val="001163eb"/>
    <w:rPr>
      <w:rFonts w:cs="Times New Roman"/>
    </w:rPr>
  </w:style>
  <w:style w:type="character" w:styleId="Pullright" w:customStyle="1">
    <w:name w:val="pull-right"/>
    <w:basedOn w:val="DefaultParagraphFont"/>
    <w:uiPriority w:val="99"/>
    <w:qFormat/>
    <w:rsid w:val="001163eb"/>
    <w:rPr>
      <w:rFonts w:cs="Times New Roman"/>
    </w:rPr>
  </w:style>
  <w:style w:type="character" w:styleId="Style15" w:customStyle="1">
    <w:name w:val="Основной текст + Не курсив"/>
    <w:basedOn w:val="DefaultParagraphFont"/>
    <w:uiPriority w:val="99"/>
    <w:qFormat/>
    <w:rsid w:val="00f82f75"/>
    <w:rPr>
      <w:rFonts w:ascii="Times New Roman" w:hAnsi="Times New Roman" w:cs="Times New Roman"/>
      <w:i/>
      <w:iCs/>
      <w:color w:val="000000"/>
      <w:spacing w:val="2"/>
      <w:w w:val="100"/>
      <w:sz w:val="23"/>
      <w:szCs w:val="23"/>
      <w:shd w:fill="FFFFFF" w:val="clear"/>
      <w:lang w:val="ru-RU"/>
    </w:rPr>
  </w:style>
  <w:style w:type="character" w:styleId="Strong">
    <w:name w:val="Strong"/>
    <w:basedOn w:val="DefaultParagraphFont"/>
    <w:uiPriority w:val="99"/>
    <w:qFormat/>
    <w:locked/>
    <w:rsid w:val="00772c05"/>
    <w:rPr>
      <w:b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BodyTextChar"/>
    <w:uiPriority w:val="99"/>
    <w:rsid w:val="000a5c19"/>
    <w:pPr>
      <w:spacing w:lineRule="auto" w:line="240" w:before="0" w:after="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link w:val="ListParagraphChar"/>
    <w:uiPriority w:val="99"/>
    <w:qFormat/>
    <w:rsid w:val="002b4cf2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" w:customStyle="1">
    <w:name w:val="Абзац списка1"/>
    <w:basedOn w:val="Normal"/>
    <w:uiPriority w:val="99"/>
    <w:qFormat/>
    <w:rsid w:val="0072018a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HeaderChar"/>
    <w:uiPriority w:val="99"/>
    <w:rsid w:val="006b590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FooterChar"/>
    <w:uiPriority w:val="99"/>
    <w:rsid w:val="006b590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" w:customStyle="1">
    <w:name w:val="Абзац списка2"/>
    <w:basedOn w:val="Normal"/>
    <w:uiPriority w:val="99"/>
    <w:qFormat/>
    <w:rsid w:val="00b3408a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NormalWeb">
    <w:name w:val="Normal (Web)"/>
    <w:basedOn w:val="Normal"/>
    <w:link w:val="NormalWebChar"/>
    <w:uiPriority w:val="99"/>
    <w:qFormat/>
    <w:rsid w:val="001226bb"/>
    <w:pPr>
      <w:spacing w:lineRule="auto" w:line="240" w:beforeAutospacing="1" w:afterAutospacing="1"/>
    </w:pPr>
    <w:rPr>
      <w:rFonts w:ascii="Times New Roman" w:hAnsi="Times New Roman"/>
      <w:sz w:val="24"/>
      <w:szCs w:val="20"/>
      <w:lang w:eastAsia="ru-RU"/>
    </w:rPr>
  </w:style>
  <w:style w:type="paragraph" w:styleId="NoSpacing">
    <w:name w:val="No Spacing"/>
    <w:uiPriority w:val="99"/>
    <w:qFormat/>
    <w:rsid w:val="001226b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odyText21" w:customStyle="1">
    <w:name w:val="Body Text 21"/>
    <w:basedOn w:val="Normal"/>
    <w:uiPriority w:val="99"/>
    <w:qFormat/>
    <w:rsid w:val="004e5a15"/>
    <w:pPr>
      <w:spacing w:lineRule="auto" w:line="240" w:before="0" w:after="0"/>
      <w:jc w:val="center"/>
    </w:pPr>
    <w:rPr>
      <w:rFonts w:ascii="Bookman Old Style" w:hAnsi="Bookman Old Style" w:eastAsia="Times New Roman"/>
      <w:b/>
      <w:sz w:val="32"/>
      <w:szCs w:val="20"/>
      <w:lang w:eastAsia="ru-RU"/>
    </w:rPr>
  </w:style>
  <w:style w:type="paragraph" w:styleId="Style25">
    <w:name w:val="Footnote Text"/>
    <w:basedOn w:val="Normal"/>
    <w:link w:val="FootnoteTextChar"/>
    <w:uiPriority w:val="99"/>
    <w:rsid w:val="002130a0"/>
    <w:pPr>
      <w:spacing w:lineRule="auto" w:line="240" w:before="0" w:after="0"/>
    </w:pPr>
    <w:rPr>
      <w:sz w:val="20"/>
      <w:szCs w:val="20"/>
    </w:rPr>
  </w:style>
  <w:style w:type="paragraph" w:styleId="3" w:customStyle="1">
    <w:name w:val="Абзац списка3"/>
    <w:basedOn w:val="Normal"/>
    <w:uiPriority w:val="99"/>
    <w:qFormat/>
    <w:rsid w:val="005a1b8f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018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b556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6" w:customStyle="1">
    <w:name w:val="Прижатый влево"/>
    <w:basedOn w:val="Normal"/>
    <w:next w:val="Normal"/>
    <w:uiPriority w:val="99"/>
    <w:qFormat/>
    <w:rsid w:val="009c3038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Annotationtext">
    <w:name w:val="annotation text"/>
    <w:basedOn w:val="Normal"/>
    <w:link w:val="CommentTextChar"/>
    <w:uiPriority w:val="99"/>
    <w:qFormat/>
    <w:rsid w:val="00903108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ConsPlusTitle" w:customStyle="1">
    <w:name w:val="ConsPlusTitle"/>
    <w:uiPriority w:val="99"/>
    <w:qFormat/>
    <w:rsid w:val="001a26a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Style29">
    <w:name w:val="Обычный (веб)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szCs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99"/>
    <w:rsid w:val="005476fe"/>
    <w:pPr>
      <w:jc w:val="center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476f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99"/>
    <w:rsid w:val="005c65ab"/>
    <w:pPr>
      <w:jc w:val="center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s://disk.yandex.ru/edit/d/mmT6maKTLk6MY1FI4wDStCPegnqahzm72s0qoIz-cKg6RlBodVdPR0xIZw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1260</TotalTime>
  <Application>LibreOffice/7.3.4.2$Windows_X86_64 LibreOffice_project/728fec16bd5f605073805c3c9e7c4212a0120dc5</Application>
  <AppVersion>15.0000</AppVersion>
  <Pages>15</Pages>
  <Words>3606</Words>
  <Characters>27851</Characters>
  <CharactersWithSpaces>31123</CharactersWithSpaces>
  <Paragraphs>352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2020-02-04T10:14:00Z</dcterms:created>
  <dc:creator>Абдуллин</dc:creator>
  <dc:description/>
  <dc:language>ru-RU</dc:language>
  <cp:lastModifiedBy/>
  <dcterms:modified xsi:type="dcterms:W3CDTF">2024-07-12T12:28:15Z</dcterms:modified>
  <cp:revision>32</cp:revision>
  <dc:subject/>
  <dc:title>Отчет о достижении показателей, установленных планом мероприятий («дорожной картой»)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