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Отчет о достижении показателей, установленных планом мероприятий («дорожной картой»)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по содействию развитию конкуренции в Гайском городском округе на 2022– 2025 годы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по итогам 2023 года</w:t>
      </w:r>
    </w:p>
    <w:p>
      <w:pPr>
        <w:pStyle w:val="Style18"/>
        <w:suppressAutoHyphens w:val="true"/>
        <w:jc w:val="center"/>
        <w:rPr>
          <w:color w:val="000000"/>
          <w:sz w:val="20"/>
        </w:rPr>
      </w:pPr>
      <w:r>
        <w:rPr>
          <w:color w:val="000000"/>
          <w:sz w:val="20"/>
        </w:rPr>
      </w:r>
      <w:bookmarkStart w:id="0" w:name="_GoBack"/>
      <w:bookmarkStart w:id="1" w:name="_GoBack"/>
      <w:bookmarkEnd w:id="1"/>
    </w:p>
    <w:tbl>
      <w:tblPr>
        <w:tblW w:w="15750" w:type="dxa"/>
        <w:jc w:val="left"/>
        <w:tblInd w:w="-2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450"/>
        <w:gridCol w:w="2649"/>
        <w:gridCol w:w="2131"/>
        <w:gridCol w:w="849"/>
        <w:gridCol w:w="851"/>
        <w:gridCol w:w="710"/>
        <w:gridCol w:w="2150"/>
        <w:gridCol w:w="1189"/>
        <w:gridCol w:w="4769"/>
      </w:tblGrid>
      <w:tr>
        <w:trPr>
          <w:trHeight w:val="265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ключевого показателя (единица измерения)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Числовое значение показателя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Источник данных для расчета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Информация о реализации мероприятия в отчетном периоде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Рынок семеноводства</w:t>
            </w:r>
          </w:p>
        </w:tc>
      </w:tr>
      <w:tr>
        <w:trPr>
          <w:trHeight w:val="151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Оказание информационной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на рынке семеноводства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течение года оказывается методическая и консультативная помощь. Также на официальном сайте администрации Гайского городского округа размещается вся необходимая информация. На территории Гайского городского округа деятельность в области семеноводства осуществляют 4 семеноводческих хозяйства.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2. Рынок услуг связи, в том числе услуг по предоставлению широкополосного доступа к сети «Интернет»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муниципальной собственности для использования операторами связи с целью размещения и строительства сетей и сооружений связи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Участниками рынка связи, в том числе услуг по предоставлению широкополосного доступа к сети «Интернет» являются 7 операторов связи.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они относятся к частной форме собственности и создают конкурентную среду, позволяющую повышать качество услуг и формировать ценовую политику.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3.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благоустройству городской среды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выполнения работ по благоустройству городской среды, по вопросам формирования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 регионального проекта «Формирование комфортной городской среды» в Гайском городском округе общественная территория, подлежащая благоустройству в первоочередном порядке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году: Сквер по ул. Коммунистическая в г.Гай Оренбургской области I этап II часть.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Выполнены следующие работы: снято старое асфальтовое покрытие, демонтированы малые архитектурные формы, изготовлено из бетона два цветника, смонтирован бордюрный камень, тротуарная плитка, завершены работы по асфальтированию, выполнены участки с резиновой крошкой. Смонтирована поливочная система для полива зеленых насаждений. Смонтированы опоры освещения со светильниками, произведена прокладка электрокабеля под землей. Установлено видеонаблюдение с пунктом регистрации. Установлены мылые архитектурные формы (качели, урны, скамейки), смонтированы спортивные тренажеры. Работы выполнены на 100%.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4.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мероприятий по исполнению требований законодательства в части исполнения обязательств по выбору способа управления многоквартирным домом, где собственники помещений многоквартирного дома не определились с выбором способа управления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доли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hyperlink r:id="rId2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ru-RU" w:eastAsia="ru-RU"/>
                </w:rPr>
                <w:t>П</w:t>
              </w:r>
            </w:hyperlink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eastAsia="ru-RU"/>
              </w:rPr>
              <w:t>ринято Постановление администрации Гайского городского округа от 13.01.2023 № 22-пА «Об определении управляющих организаций по управлению многоквартирными домами».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eastAsia="ru-RU"/>
              </w:rPr>
              <w:t>Определены управляющие организации для управления многоквартирными домами, в отношении которых собственниками помещений в многоквартирном доме не выбран способ управления или выбранный способ управления не реализован, до заключения собственниками помещений данных многоквартирных домов договоров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или до выбора собственниками помещений в указанных многоквартирных домах иного способа управления многоквартирным домом.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в открытом доступе информации о многоквартирных домах, находящихся на стадии завершения строительства, а также о сдаче указанных объектов с указанием срока ввода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</w:t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Формирование документации проведения аукционов (конкурсов) в электронной форме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Проведено 22 электронных запроса котировок, из них 10 признаны несостоявшимися.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</w:t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Открытые конкурсы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 не проводились.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с учетом полученной информации по результатам мониторинга пассажиропотока и потребностей Гайского городского округа</w:t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не проводилась.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муниципальные контракты на выполнение работ по перевозке пассажиров, связанные с осуществлением регулярных перевозок по муниципальным маршрутам регулярных перевозок по регулируемым тарифам, возможности привлечения к исполнению контрактов соисполнителей из числа субъектов МСП</w:t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закупки проводились  с преимуществом для  субъектов МСП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6. Рынок оказания услуг по ремонту автотранспортных средств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организационно-методической и информационно-консультационной поддержки негосударственным организациям и ИП, осуществляющим деятельность в сфере оказания услуг по ремонту автотранспортных средств, по вопросам организации деятельности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</w:t>
            </w:r>
            <w:r>
              <w:rPr>
                <w:rStyle w:val="Fontstyle01"/>
                <w:color w:val="000000"/>
                <w:sz w:val="20"/>
                <w:szCs w:val="20"/>
                <w:lang w:val="ru-RU"/>
              </w:rPr>
              <w:t>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предоставляется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организационно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-методическая и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информационно-консультационной поддержка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7. Рынок услуг розничной торговли лекарственными препаратами,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медицинскими изделиями и сопутствующими товарами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информационно-консультационной поддержки негосударственным организациям и ИП, осуществляющим фармацевтическую деятельность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 состоянию на 01.01.2024 года рынок фармацевтических услуг Гайского городского округа представлен 22 объектами, осуществляющим розничную торговлю лекарственными препаратами для медицинского применения, в том числе 20 аптеками, 2 аптечными пунктами. Из 22 аптечных организаций: 1 государственная, 21 частная организация и ИП.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8. Рынок ритуальных услуг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инвентаризации кладбищ и мест захоронений на них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 (процентов)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Инвентаризация не проводилась.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Ведение реестров кладбищ и мест захоронений по результатам инвентаризации, с размещением указанных реестров на официальных сайтах органов местного самоуправления в сети «Интернет»</w:t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Реестр кладбищ 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мест захоронений размещен  на официальном сайте  администрации Гайского городского округа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размещение информации об объектах, предоставляющих услуги по организации похорон и связанные с ними услуги на официальном сайте администрации Гайского городского округа в сети «Интернет», курирующего сферу ритуальных услуг</w:t>
            </w:r>
          </w:p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9. Рынок кадастровых и землеустроительных работ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выявления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рынке кадастровых и землеустроительных работ Гайского городского округа действуют 2 хозяйствующих субъекта, основным видом экономической деятельности которых является проведение кадастровых работ, землеустройства. Оба хозяйствующих субъекта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относятся к частной форме собственности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10. Рынок строительства объектов капитального строительства (за исключением жилищного и дорожного строительства)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16.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Внесение в ГИСОГД сведений о правилах землепользования и застройки муниципальных образований, документации по планировке территории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доли организаций частной формы собственности в сфере строительства объектов капитального строительства (за исключением жилищного и дорожного строительства)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В 2023 году в ГИСОГД вносились сведения о правилах землепользования и застройки муниципального образования Гайский Городской округ.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17.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предоставления государственных (муниципальных)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За 2023 год поступило 17 обращений по предоставлению государственных (муниципальных) услуг по выдаче градостроительного плана земельного участка.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18.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 xml:space="preserve">За 2023 год было выдано 6 </w:t>
            </w: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eastAsia="ru-RU"/>
              </w:rPr>
              <w:t xml:space="preserve">разрешений на строительство и 6 разрешений на ввод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объекта в эксплуатацию.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19.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опубликования и актуализации на официальном сайте администрации Гайского городского округа сети «Интернет»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На официальном сайте администрации Гайского городского округа было размещено 8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эксплуатацию.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11. Рынок услуг детского отдыха и оздоровления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детского отдыха и оздоровления, по вопросам организации детского отдыха и оздоровления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услуг детского отдыха и оздоровления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 Рынок добычи общераспространенных полезных ископаемых на участках недр местного значения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производителей к участию в областных и межрегиональных выставках для презентации товара, организации межрегионального сотрудничества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 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 территории Гайского городского округа 4 организации имеют лицензии на право пользования участками недр местного значения, содержащими общераспространенные полезные ископаемые, все они частной формы собственности.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13. Сфера наружной рекламы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Выявление и осуществление демонтажа незаконных рекламных конструкций, развитие сегмента цифровых форматов, внедрение современных и инновационных рекламоносителей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организаций частной формы собственности в сфере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наружной рекламы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 1 полугодие не выявлено фактов размещения  незаконных рекламных конструкций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Актуализация схем размещения рекламных конструкций</w:t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2023 году схема размещения рекламных конструкций не актуализировалась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на официальных сайтах ОМСУ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849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</w:tr>
      <w:tr>
        <w:trPr>
          <w:trHeight w:val="340" w:hRule="atLeast"/>
        </w:trPr>
        <w:tc>
          <w:tcPr>
            <w:tcW w:w="157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 Рынок туристических и рекреационных услуг</w:t>
            </w:r>
          </w:p>
        </w:tc>
      </w:tr>
      <w:tr>
        <w:trPr>
          <w:trHeight w:val="1849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повышения квалификации представителей хозяйствующих субъектов, осуществляющих туристическую деятельность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собственности, ИП в сфере туризма от общего количества организаций в сфере туризма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345" w:hRule="atLeast"/>
        </w:trPr>
        <w:tc>
          <w:tcPr>
            <w:tcW w:w="157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 Рынок розничной торговли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мониторинга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увеличение количества НТО и торговых мест под них к 2025 году по отношению к уровню 2021 года</w:t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 проводиться по мере необходимости.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участием предпринимательского сообщества подготовка изменений в схему размещения НТО (увеличение количества мест под размещение НТО)</w:t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Изменения в схему размещения НТО не вносились.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открытых опросов предпринимателей в целях определения спроса/потребности в предоставлении мест под размещение НТО</w:t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2023 году проводились открытые опросы предпринимателей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 целях определения спроса/потребности в предоставлении мест под размещение НТО. По итогам опроса были предоставлены земельные участки на конкурсной основе.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Утверждение актуализированной схемы размещения НТО</w:t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Схема размещения НТО в 2023 году не актуализировалась.</w:t>
            </w:r>
          </w:p>
        </w:tc>
      </w:tr>
      <w:tr>
        <w:trPr>
          <w:trHeight w:val="160" w:hRule="atLeast"/>
        </w:trPr>
        <w:tc>
          <w:tcPr>
            <w:tcW w:w="157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 Рынок услуг дополнительного образования детей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Повышение качества профессиональной подготовки педагогических кадров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Показатели ежеквартального мониторинга регионального проекта «Успех каждого ребенка»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3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https://disk.yandex.ru/edit/d/mmT6maKTLk6MY1FI4wDStCPegnqahzm72s0qoIz-cKg6RlBodVdPR0xIZw</w:t>
              </w:r>
            </w:hyperlink>
          </w:p>
        </w:tc>
        <w:tc>
          <w:tcPr>
            <w:tcW w:w="1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= </w:t>
            </w: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Vn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Vo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*100%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Педагоги дополнительного образования приняли участие 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 курсы повышения квалификации;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 курсы переподготовки;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 краткосрочные курсы по проблеме;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 аттестация педагогических работников;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5. ММО (муниципально методическое объединение) педагогов дополнительного образования;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6. вебинары, семинары, научно-практические конференции.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Материально-техническое и информационное обеспечение дополнительных образовательных учреждений</w:t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 (УДО)  обеспечены необходимыми техническими средствами, подключены к сети Интернет.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 УДО имеют официальные сайты, странички в социальных сетях. Проводилась работа по сохранению  и  развитие сети УДО. Созданы условия для развития дополнительного образования.  Сохранены  реализуемые образовательные программы  по приоритетным направлениям дополнительного образования</w:t>
            </w:r>
          </w:p>
        </w:tc>
      </w:tr>
      <w:tr>
        <w:trPr>
          <w:trHeight w:val="16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Работа муниципального опорного центра  (МОЦ) дополнительного образования на базе МАУДО ЦДТ «Радуга»</w:t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Оказана методическая помощь в развитии дополнительного образования организациям дополнительного образования всех форм собственности, регистрация детей на портале дополнительного образования Навигатор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Системные мероприятия, направленные на развитие конкурентной среды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tbl>
      <w:tblPr>
        <w:tblW w:w="14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269"/>
        <w:gridCol w:w="5272"/>
        <w:gridCol w:w="4459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Наименование системного мероприятия, направленного на содействие развитию конкуренции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о реализации мероприятия, направленного на содействие развитию конкуренции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1. Повышение информированности потребителей о реализации муниципальной политики по развитию конкуренции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Размещение на официальном сайте администрации Гайского городского округа в сети «Интернет» информации о результатах реализации муниципальной политики по развитию конкуренции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  <w:t>На официальном сайте администрации Гайского городского округа размещается информации о результатах реализации муниципальной политики по развитию конкуренции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2. Развитие конкурентоспособности товаров, работ, услуг субъектов МСП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субъектам МСП по сертификации продукции, выходу на электронные площадки, проведение рекламных кампаний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оказывается  организационно-методическая и информационно-консультационная поддержка субъектам МСП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комплекса услуг, сервисов и мер поддержки субъектам МСП, в том числе финансовых (кредитных, гарантийных, лизинговых) услуг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45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соответствии с распоряжением администрации Гайского городского округа от 12.10.2023 № 218-рА «О проведении конкурсного отбора на предоставление грантов в форме субсидий начинающим субъектам малого и среднего предпринимательства Гайского городского округа, а также самозанятым гражданам на создание и развитие собственного бизнеса» был объявлен конкурс на подачу заявок на предоставление гранта с 17.10.2023 с 08.00 ч. по 15.11.2022 до 17.15 ч.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3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Заявок в указанный срок не поступило.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3.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заказчикам и участникам закупок, в том числе являющимся субъектами МСП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Оказывалась информационно-консультационная поддержка заказчикам и участникам закупок, в том числе являющимся субъектами МСП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образовательных мероприятий (семинаров, вебинаров, мастер-классов, образовательных программ) для участников закупок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2023 году образовательные мероприятия (семинары, вебинары, мастер-классы, образовательные программы) для участников закупок не проводились.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4. Устранение избыточного муниципального регулирования, а также снижение административных барьеров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порядки проведения оценки регулирующего воздействия проектов нормативных правовых актов Гайского городского округа и экспертизы нормативных правовых актов Гайского городского округа, устанавливаемых в соответствии с Федеральным законом от 06.10.2003 № 131-ФЗ «Об общих принципах организации местного самоуправления в Российской Федерации»,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TitlePage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вносятся изменения в  постановление администрации города Гая от 24.02.2016 года № 211-пА «Об утверждении порядков проведения оценки регулирующего воздействия проектов нормативных правовых актов и экспертизы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основании решения Совета депутатов Гайского городского округа от 26.09.2019 № 399 утвержден расчет льготной ставки арендной платы, применяемый в договорах аренды с субъектами МСП, «самозанятыми» гражданами.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5. 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составление плана-графика полной инвентаризации муниципального имущества, в том числе закрепленного за предприятиями, учреждениями;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прогнозный план (программу) по приватизации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Плановая инвентаризация муниципального имущества казны проведена в ноябре 2023 года. Выявлен объект недвижимого имущества, числящийся в казне: гараж по адресу: с. Новониколаевка, квартал 3, д. 6, данное имущество включено в Прогнозный план (программу) приватизации на 2024 год с целью реализации на торгах в 1 квартале 2024 года. Решение Совета депутатов от 23.11.2023 № 228.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Муниципальное казенное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учреждение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Приватизация либо перепрофилирование (изменение целевого назначения)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по реализации или предоставлении во владение и (или) пользование, в том числе субъектам МСП,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перепрофилирование (изменение целевого назначения) муниципального имущества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основании Прогнозного плана (программы) приватизации на 2023 год, утвержденного Решением Совета депутатов от 17.11.2022 № 154, 03.03.2023 проведены торги по продаже движимого имущества (станки) на сумму 174 250 рублей.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Муниципальное казенное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учреждение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на сайте администрации Гайского городского округа, информации о возможности предоставления земельных участков для целей жилищного и иного строительства в соответствии с статьями 39.12, 39.18 Земельного кодекса Российской Федерации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о возможности предоставления земельных участков на территории Гайского городского округа свободных от прав, земельных участков государственная собственность на которые не разграничена, была опубликована в газете «Гайская новь» от 29.12.2023 № 99 (11940), от 08.12.2023 № 93 (11934), от 06.10.2023 № 75 (11916), от 27.10.2023 № 81 (11922), 14.07.2023 № 51 (11892)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Муниципальное казенное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учреждение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6. Создание условий для недискриминационного доступа хозяйствующих субъектов на товарные рынки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Рассмотрение обращений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полномочиям органов местного самоуправления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Обращений не поступало.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выявления административных барьеров и проблем, препятствующих развитию конкуренции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7. Содействие развитию негосударственных (немуниципальных) СОНКО и «социального предпринимательства»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Публикация на сайте администрации Гайского городского округа об оказании комплекса услуг, сервисов и мер поддержки в центре «Мой бизнес»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8.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проведении образовательных мероприятий (семинаров, вебинаров, мастер-классов, образовательных программ) для субъектов МСП, самозанятых граждан и лиц, планирующих начать предпринимательскую деятельность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9.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Конкурсная поддержка организаций, педагогических работников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2023 году 87 педагогов дополнительного образования стали победителями конкурсов педагогического мастерства регионального, федерального и международного уровней.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Ежегодно педагоги дополнительного образования принимают участие в муниципальном и региональном конкурсе «Сердце отдаю детям».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ежегодных конкурсов, соревнований, направленных на выявление одаренных детей и молодежи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 Муниципальный этап областного дистанционного турнира по медийно-информационной грамотности #Знаю МИГ;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 Муниципальный конкурс чтецов;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 Муниципальный квиз «Родной край»;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 Муниципальный фестиваль «Талант. Музыка. Дети»;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5. Муниципальный фестиваль «Долг. Честь. Родина»;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6. Муниципальный этап областного смотра конкурса школьных центров медиаобразования;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7. Муниципальная конференция обучающихся «Светлячки»;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8. Муниципальный конкурс «Мир движений»;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9. Муниципальный этап областного фестиваля детского и юношеского художественного творчества «Зажги свою звезду»;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10. Муниципальная конференция обучающихся «Галилео»;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11. Муниципальный этап областного краеведческого фестиваля «Оренбургский край - земля родная»;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12. Слёт поисковых отрядов;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13. Муниципальный этап областного туристического слета;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14. Муниципальный конкурс НТМ «Мастерилка»;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15. Муниципальная выставка НТМ, посвящённая Дню детских изобретений «Дети. Фантазия. Творчество»;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16. Муниципальный этап игры «Что? Где? Когда?»;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17.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Муниципальный конкурс «Марья-искусница»;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18. Муниципальная выставка декоративно-прикладного творчества и швейного мастерства «Радуга талантов»;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19. Муниципальный конкурс детского творчества по противопожарной безопасности «Неопалимая купина».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региональном, Всероссийском и международном конкурсах в 2023 году победителями стали 925 воспитанников УДО.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10. Обеспечение равных условий доступа к информации о муниципальном имуществе Гайского городского округа, в том числе имуществе, включаемом в перечни для предоставления на льготных условиях субъектам МСП,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администрации Гайского городского округа (далее - уполномоченный орган) в сети «Интернет»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информации на официальном сайте Российской Федерации для размещения информации о проведении торгов (www.torgi.gov.ru) и на официальном сайте уполномоченного органа в сети «Интернет» о приватизации имущества, находящегося в муниципальной собственности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сайте (www.torgi.gov.ru) 27.01.2023 года опубликованы извещения о продаже муниципального имущества и 07.04.2023 извещение о передаче в аренду муниципального имуществ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Муниципальное казенное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учреждение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и актуализация сведений об объектах муниципальной собственности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Постановлениями № 102-пА от 03.02.2023 и № 1780-пА от 14.11.2023 внесены изменения (актуализированы) в Перечень муниципального имущества, свободного от прав третьих лиц, подлежащего предоставлению субъектам малого и среднего предпринимательства. Постановления с изменениями опубликованы в газете «Гайская новь» 10.02.2023 (№ 9 11850) и 17.11.2023   (№ 87 11928)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Муниципальное казенное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учреждение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Расширение перечней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Перечень муниципального имущества, предназначенного для предоставления субъектам СМП дополнены 2 новыми объектами недвижимого муниципального имущества, подлежащего предоставлению СМП: помещение по адресу: г. Гай ул. Коммунистическая, д. 12, пом 5 и здание по адресу: г. Гай, ул. Орская, д. 113Б -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Постановление администрации от 03.02.2023 № 102-пА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Муниципальное казенное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учреждение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11. Разработка и утверждение типовых административных регламентов предоставления муниципальных услуг по выдаче разрешений на строительство и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текущих изменений Градостроительного кодекса  Российской Федерации, иных федеральных законов в области градостроительной деятельности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Административный регламент  от 25.01.2023 №59-пА «Выдача разрешения на строительство»;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Административный регламент  от 01.02.2023 №83-пА «Выдача разрешения на ввод в эксплуатацию объекта, строительство которого осуществлялось на основании выданного органом местного самоуправления разрешения на строительство»;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Административный регламент  от 13.06.2023 №733-пА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Административный регламент  от 13.06.2023 №732-пА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Административный регламент от 19.10.2023 № 1558-пА  «Утверждение документации по планировке территории в случаях, предусмотренных Градостроительным кодексом Российской Федерации»;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Административный регламент от 26.10.2023 № 1667-пА «Предоставление разрешения на условно разрешенный вид использования земельного участка или объекта капитального строительства»;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Административный регламент от 27.12.2023 № 2180-пА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      </w:r>
          </w:p>
        </w:tc>
        <w:tc>
          <w:tcPr>
            <w:tcW w:w="4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Управление архитектуры и градостроительства администрации Гайского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28"/>
        <w:gridCol w:w="4929"/>
        <w:gridCol w:w="4929"/>
      </w:tblGrid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рынка</w:t>
            </w:r>
          </w:p>
        </w:tc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</w:tc>
      </w:tr>
      <w:tr>
        <w:trPr/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всех хозяйствующих субъектов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организациями частной формы собственности</w:t>
            </w:r>
          </w:p>
        </w:tc>
      </w:tr>
      <w:tr>
        <w:trPr/>
        <w:tc>
          <w:tcPr>
            <w:tcW w:w="4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108538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108538</w:t>
            </w:r>
          </w:p>
        </w:tc>
      </w:tr>
    </w:tbl>
    <w:p>
      <w:pPr>
        <w:pStyle w:val="Normal"/>
        <w:spacing w:before="0" w:after="200"/>
        <w:rPr>
          <w:color w:val="000000"/>
        </w:rPr>
      </w:pPr>
      <w:r>
        <w:rPr/>
      </w:r>
    </w:p>
    <w:sectPr>
      <w:headerReference w:type="default" r:id="rId4"/>
      <w:type w:val="nextPage"/>
      <w:pgSz w:orient="landscape" w:w="16838" w:h="11906"/>
      <w:pgMar w:left="770" w:right="1138" w:gutter="0" w:header="709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14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0e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Heading1Char"/>
    <w:uiPriority w:val="99"/>
    <w:qFormat/>
    <w:rsid w:val="00fc53ca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fc53ca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ListParagraphChar" w:customStyle="1">
    <w:name w:val="List Paragraph Char"/>
    <w:basedOn w:val="DefaultParagraphFont"/>
    <w:link w:val="ListParagraph"/>
    <w:uiPriority w:val="99"/>
    <w:qFormat/>
    <w:locked/>
    <w:rsid w:val="002b4cf2"/>
    <w:rPr>
      <w:rFonts w:ascii="Times New Roman" w:hAnsi="Times New Roman" w:cs="Times New Roman"/>
      <w:sz w:val="24"/>
      <w:szCs w:val="24"/>
      <w:lang w:eastAsia="ru-RU"/>
    </w:rPr>
  </w:style>
  <w:style w:type="character" w:styleId="Fontstyle01" w:customStyle="1">
    <w:name w:val="fontstyle01"/>
    <w:basedOn w:val="DefaultParagraphFont"/>
    <w:uiPriority w:val="99"/>
    <w:qFormat/>
    <w:rsid w:val="001335ab"/>
    <w:rPr>
      <w:rFonts w:ascii="Times New Roman" w:hAnsi="Times New Roman" w:cs="Times New Roman"/>
      <w:color w:val="000000"/>
      <w:sz w:val="24"/>
      <w:szCs w:val="24"/>
    </w:rPr>
  </w:style>
  <w:style w:type="character" w:styleId="Style13">
    <w:name w:val="Интернет-ссылка"/>
    <w:basedOn w:val="DefaultParagraphFont"/>
    <w:uiPriority w:val="99"/>
    <w:rsid w:val="00a737df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uiPriority w:val="99"/>
    <w:qFormat/>
    <w:locked/>
    <w:rsid w:val="006b590a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6b590a"/>
    <w:rPr>
      <w:rFonts w:cs="Times New Roman"/>
    </w:rPr>
  </w:style>
  <w:style w:type="character" w:styleId="NormalWebChar" w:customStyle="1">
    <w:name w:val="Normal (Web) Char"/>
    <w:link w:val="NormalWeb"/>
    <w:uiPriority w:val="99"/>
    <w:qFormat/>
    <w:locked/>
    <w:rsid w:val="001226bb"/>
    <w:rPr>
      <w:rFonts w:ascii="Times New Roman" w:hAnsi="Times New Roman"/>
      <w:sz w:val="24"/>
    </w:rPr>
  </w:style>
  <w:style w:type="character" w:styleId="Applestylespan" w:customStyle="1">
    <w:name w:val="apple-style-span"/>
    <w:basedOn w:val="DefaultParagraphFont"/>
    <w:uiPriority w:val="99"/>
    <w:qFormat/>
    <w:rsid w:val="004e5a15"/>
    <w:rPr>
      <w:rFonts w:cs="Times New Roman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2130a0"/>
    <w:rPr>
      <w:rFonts w:ascii="Calibri" w:hAnsi="Calibri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00187b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uiPriority w:val="99"/>
    <w:qFormat/>
    <w:locked/>
    <w:rsid w:val="000a5c19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Основной текст + Полужирный"/>
    <w:uiPriority w:val="99"/>
    <w:qFormat/>
    <w:rsid w:val="00c55815"/>
    <w:rPr>
      <w:rFonts w:ascii="Times New Roman" w:hAnsi="Times New Roman"/>
      <w:b/>
      <w:sz w:val="27"/>
      <w:shd w:fill="FFFFFF" w:val="clear"/>
    </w:rPr>
  </w:style>
  <w:style w:type="character" w:styleId="CommentTextChar" w:customStyle="1">
    <w:name w:val="Comment Text Char"/>
    <w:basedOn w:val="DefaultParagraphFont"/>
    <w:uiPriority w:val="99"/>
    <w:qFormat/>
    <w:locked/>
    <w:rsid w:val="00903108"/>
    <w:rPr>
      <w:rFonts w:ascii="Times New Roman" w:hAnsi="Times New Roman" w:cs="Times New Roman"/>
      <w:sz w:val="20"/>
      <w:szCs w:val="20"/>
      <w:lang w:eastAsia="ru-RU"/>
    </w:rPr>
  </w:style>
  <w:style w:type="character" w:styleId="Logo" w:customStyle="1">
    <w:name w:val="logo"/>
    <w:basedOn w:val="DefaultParagraphFont"/>
    <w:uiPriority w:val="99"/>
    <w:qFormat/>
    <w:rsid w:val="001163eb"/>
    <w:rPr>
      <w:rFonts w:cs="Times New Roman"/>
    </w:rPr>
  </w:style>
  <w:style w:type="character" w:styleId="Pullright" w:customStyle="1">
    <w:name w:val="pull-right"/>
    <w:basedOn w:val="DefaultParagraphFont"/>
    <w:uiPriority w:val="99"/>
    <w:qFormat/>
    <w:rsid w:val="001163eb"/>
    <w:rPr>
      <w:rFonts w:cs="Times New Roman"/>
    </w:rPr>
  </w:style>
  <w:style w:type="character" w:styleId="Style15" w:customStyle="1">
    <w:name w:val="Основной текст + Не курсив"/>
    <w:basedOn w:val="DefaultParagraphFont"/>
    <w:uiPriority w:val="99"/>
    <w:qFormat/>
    <w:rsid w:val="00f82f75"/>
    <w:rPr>
      <w:rFonts w:ascii="Times New Roman" w:hAnsi="Times New Roman" w:cs="Times New Roman"/>
      <w:i/>
      <w:iCs/>
      <w:color w:val="000000"/>
      <w:spacing w:val="2"/>
      <w:w w:val="100"/>
      <w:sz w:val="23"/>
      <w:szCs w:val="23"/>
      <w:shd w:fill="FFFFFF" w:val="clear"/>
      <w:lang w:val="ru-RU"/>
    </w:rPr>
  </w:style>
  <w:style w:type="character" w:styleId="Strong">
    <w:name w:val="Strong"/>
    <w:basedOn w:val="DefaultParagraphFont"/>
    <w:uiPriority w:val="99"/>
    <w:qFormat/>
    <w:locked/>
    <w:rsid w:val="00772c05"/>
    <w:rPr>
      <w:b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0a5c19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ListParagraphChar"/>
    <w:uiPriority w:val="99"/>
    <w:qFormat/>
    <w:rsid w:val="002b4cf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" w:customStyle="1">
    <w:name w:val="Абзац списка1"/>
    <w:basedOn w:val="Normal"/>
    <w:uiPriority w:val="99"/>
    <w:qFormat/>
    <w:rsid w:val="007201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" w:customStyle="1">
    <w:name w:val="Абзац списка2"/>
    <w:basedOn w:val="Normal"/>
    <w:uiPriority w:val="99"/>
    <w:qFormat/>
    <w:rsid w:val="00b340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iPriority w:val="99"/>
    <w:qFormat/>
    <w:rsid w:val="001226bb"/>
    <w:pPr>
      <w:spacing w:lineRule="auto" w:line="240" w:beforeAutospacing="1" w:afterAutospacing="1"/>
    </w:pPr>
    <w:rPr>
      <w:rFonts w:ascii="Times New Roman" w:hAnsi="Times New Roman"/>
      <w:sz w:val="24"/>
      <w:szCs w:val="20"/>
      <w:lang w:eastAsia="ru-RU"/>
    </w:rPr>
  </w:style>
  <w:style w:type="paragraph" w:styleId="NoSpacing">
    <w:name w:val="No Spacing"/>
    <w:uiPriority w:val="99"/>
    <w:qFormat/>
    <w:rsid w:val="001226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21" w:customStyle="1">
    <w:name w:val="Body Text 21"/>
    <w:basedOn w:val="Normal"/>
    <w:uiPriority w:val="99"/>
    <w:qFormat/>
    <w:rsid w:val="004e5a15"/>
    <w:pPr>
      <w:spacing w:lineRule="auto" w:line="240" w:before="0" w:after="0"/>
      <w:jc w:val="center"/>
    </w:pPr>
    <w:rPr>
      <w:rFonts w:ascii="Bookman Old Style" w:hAnsi="Bookman Old Style" w:eastAsia="Times New Roman"/>
      <w:b/>
      <w:sz w:val="32"/>
      <w:szCs w:val="20"/>
      <w:lang w:eastAsia="ru-RU"/>
    </w:rPr>
  </w:style>
  <w:style w:type="paragraph" w:styleId="Style25">
    <w:name w:val="Footnote Text"/>
    <w:basedOn w:val="Normal"/>
    <w:link w:val="FootnoteTextChar"/>
    <w:uiPriority w:val="99"/>
    <w:rsid w:val="002130a0"/>
    <w:pPr>
      <w:spacing w:lineRule="auto" w:line="240" w:before="0" w:after="0"/>
    </w:pPr>
    <w:rPr>
      <w:sz w:val="20"/>
      <w:szCs w:val="20"/>
    </w:rPr>
  </w:style>
  <w:style w:type="paragraph" w:styleId="3" w:customStyle="1">
    <w:name w:val="Абзац списка3"/>
    <w:basedOn w:val="Normal"/>
    <w:uiPriority w:val="99"/>
    <w:qFormat/>
    <w:rsid w:val="005a1b8f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018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b556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6" w:customStyle="1">
    <w:name w:val="Прижатый влево"/>
    <w:basedOn w:val="Normal"/>
    <w:next w:val="Normal"/>
    <w:uiPriority w:val="99"/>
    <w:qFormat/>
    <w:rsid w:val="009c3038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Annotationtext">
    <w:name w:val="annotation text"/>
    <w:basedOn w:val="Normal"/>
    <w:link w:val="CommentTextChar"/>
    <w:uiPriority w:val="99"/>
    <w:qFormat/>
    <w:rsid w:val="0090310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ConsPlusTitle" w:customStyle="1">
    <w:name w:val="ConsPlusTitle"/>
    <w:uiPriority w:val="99"/>
    <w:qFormat/>
    <w:rsid w:val="001a26a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29">
    <w:name w:val="Обычный (веб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99"/>
    <w:rsid w:val="005476fe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476f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5c65ab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s://disk.yandex.ru/edit/d/mmT6maKTLk6MY1FI4wDStCPegnqahzm72s0qoIz-cKg6RlBodVdPR0xIZw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1363</TotalTime>
  <Application>LibreOffice/7.3.4.2$Windows_X86_64 LibreOffice_project/728fec16bd5f605073805c3c9e7c4212a0120dc5</Application>
  <AppVersion>15.0000</AppVersion>
  <Pages>14</Pages>
  <Words>3802</Words>
  <Characters>29330</Characters>
  <CharactersWithSpaces>32802</CharactersWithSpaces>
  <Paragraphs>355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2020-02-04T10:14:00Z</dcterms:created>
  <dc:creator>Абдуллин</dc:creator>
  <dc:description/>
  <dc:language>ru-RU</dc:language>
  <cp:lastModifiedBy/>
  <cp:lastPrinted>2024-02-09T12:10:20Z</cp:lastPrinted>
  <dcterms:modified xsi:type="dcterms:W3CDTF">2024-02-09T12:12:37Z</dcterms:modified>
  <cp:revision>32</cp:revision>
  <dc:subject/>
  <dc:title>Отчет о достижении показателей, установленных планом мероприятий («дорожной картой»)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