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Отчет о достижении показателей, установленных планом мероприятий («дорожной картой»)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содействию развитию конкуренции в Гайском городском округе на 2022– 2025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итогам </w:t>
      </w:r>
      <w:r>
        <w:rPr>
          <w:rFonts w:ascii="Times New Roman" w:hAnsi="Times New Roman"/>
          <w:sz w:val="20"/>
          <w:szCs w:val="20"/>
          <w:lang w:val="en-US"/>
        </w:rPr>
        <w:t xml:space="preserve">I </w:t>
      </w:r>
      <w:r>
        <w:rPr>
          <w:rFonts w:ascii="Times New Roman" w:hAnsi="Times New Roman"/>
          <w:sz w:val="20"/>
          <w:szCs w:val="20"/>
          <w:lang w:val="ru-RU"/>
        </w:rPr>
        <w:t xml:space="preserve">полугодия </w:t>
      </w:r>
      <w:r>
        <w:rPr>
          <w:rFonts w:ascii="Times New Roman" w:hAnsi="Times New Roman"/>
          <w:sz w:val="20"/>
          <w:szCs w:val="20"/>
        </w:rPr>
        <w:t>2022 года</w:t>
      </w:r>
    </w:p>
    <w:p>
      <w:pPr>
        <w:pStyle w:val="Style18"/>
        <w:suppressAutoHyphens w:val="true"/>
        <w:jc w:val="center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tbl>
      <w:tblPr>
        <w:tblW w:w="16047" w:type="dxa"/>
        <w:jc w:val="left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52"/>
        <w:gridCol w:w="14"/>
        <w:gridCol w:w="2835"/>
        <w:gridCol w:w="2128"/>
        <w:gridCol w:w="849"/>
        <w:gridCol w:w="852"/>
        <w:gridCol w:w="708"/>
        <w:gridCol w:w="2153"/>
        <w:gridCol w:w="1191"/>
        <w:gridCol w:w="4763"/>
      </w:tblGrid>
      <w:tr>
        <w:trPr>
          <w:trHeight w:val="265" w:hRule="atLeast"/>
        </w:trPr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ключевого показателя (единица измерения)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Числовое значение показателя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 данных для расчета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Информация о реализации мероприятия в отчетном периоде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5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мес. 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Рынок семеноводства</w:t>
            </w:r>
          </w:p>
        </w:tc>
      </w:tr>
      <w:tr>
        <w:trPr>
          <w:trHeight w:val="1519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Оказание информационной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на рынке семеноводства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течение года оказывается методическая и консультативная помощь. Также 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2. Рынок услуг связи, в том числе услуг по предоставлению широкополосного доступа к сети «Интернет»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муниципальной собственности для использования операторами связи с целью размещения и строительства сетей и сооружений связи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Участниками рынка связи, в том числе услуг по предоставлению широкополосного доступа к сети «Интернет» являются 7 операторов связи.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они относятся к частной форме собственности и создают конкурентную среду, позволяющую повышать качество услуг и формировать ценовую политику.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3.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выполнения работ по благоустройству городской среды, по вопросам формирования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 территории, подлежащей благоустройству, снято старое асфальтовое покрытие, демонтированы малые архитектурные формы, подготовлено два фундамента на месте будущих цветников, завезен бордюрный камень, тротуарная плитка, ведутся бетонные работы. Кроме того, на участке, прилегающем к скверу, работниками МУП ЖКХ перенесены наружные трубы теплотрассы под землю для комплексного благоустройства территории.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Смонтирована поливочная система, предусмотрено три точки подключения для полива зеленых насаждений. В настоящее время в сквере ведутся работы по установке новых опор освещения со светильниками, прокладка электрокабеля под землей. В ближайшее время будет установлено видеонаблюдение с пунктом регистрации.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 рамках первого этапа благоустройства в сквере предстоит уложить асфальтобетонное и плиточное покрытие на автомобильном проезде, тротуарах и пешеходных дорожках. На территории сквера будут расположены две клумбы для цветников, установлены малые архитектурные формы – качели и диван-качели, радиусная скамья, меловая доска, урны.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 настоящее время заказаны и 100% оплачены опоры освещения, МАФы. Ожидается поставка товара из г. Самары. Все необходимые строительные материалы имеются в наличии.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 07.07.2022 года запланирована укладка тротуарной плитки. Также выполнены работы по укладке щебня под асфальтобетонное покрытие.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мероприятий по исполнению требований законодательства в части исполнения обязательств по выбору способа управления многоквартирным домом, где собственники помещений многоквартирного дома не определились с выбором способа управления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открытого конкурса по отбору управляющей организации для управления многоквартирным домом, расположенным на территории муниципального образования «Гайский городской округ» на официальном сайте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torgi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в открытом доступе информации о многоквартирных домах, находящихся на стадии завершения строительства, а также о сдаче указанных объектов с указанием срока ввода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Формирование документации проведения аукционов (конкурсов) в электронной форме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Проведено 9 электронных аукционов и 2 котировки в электронном виде.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Открытые конкурсы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 не проводились.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с учетом полученной информации по результатам мониторинга пассажиропотока и потребностей Гайского городского округа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не проводилась.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муниципальные контракты на выполнение работ по перевозке пассажиров, связанные с осуществлением регулярных перевозок по муниципальным маршрутам регулярных перевозок по регулируемым тарифам, возможности привлечения к исполнению контрактов соисполнителей из числа субъектов МСП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Включено в 11 муниципальных контрактов.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6. Рынок оказания услуг по ремонту автотранспортных средств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организационно-методической и информационно-консультационной поддержки негосударственным организациям и ИП, осуществляющим деятельность в сфере оказания услуг по ремонту автотранспортных средств, по вопросам организации деятельности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</w:t>
            </w:r>
            <w:r>
              <w:rPr>
                <w:rStyle w:val="Fontstyle01"/>
                <w:color w:val="000000"/>
                <w:sz w:val="20"/>
                <w:szCs w:val="20"/>
                <w:lang w:val="ru-RU"/>
              </w:rPr>
              <w:t>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предоставляется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организационно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-методическая и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информационно-консультационной поддержка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7. Рынок услуг розничной торговли лекарственными препаратами,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медицинскими изделиями и сопутствующими товарами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информационно-консультационной поддержки негосударственным организациям и ИП, осуществляющим фармацевтическую деятельность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 состоянию на 01.07.2022 года рынок фармацевтических услуг Гайского городского округа представлен 20 объектами, осуществляющим розничную торговлю лекарственными препаратами для медицинского применения, в том числе 18 аптеками, 2 аптечными пунктами. Из 20 аптечных организаций: 1 государственная, 19 частных организаций и ИП.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8. Рынок ритуальных услуг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инвентаризации кладбищ и мест захоронений на них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 (процентов)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Инвентаризация не проводилась.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Ведение реестров кладбищ и мест захоронений по результатам инвентаризации, с размещением указанных реестров на официальных сайтах органов местного самоуправления в сети «Интернет»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Реестр кладбищ 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мест захоронений планируется разработать во втором полугодии 2022 года.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размещение информации об объектах, предоставляющих услуги по организации похорон и связанные с ними услуги на официальном сайте администрации Гайского городского округа в сети «Интернет», курирующего сферу ритуальных услуг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9. Рынок кадастровых и землеустроительных работ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выявления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рынке кадастровых и землеустроительных работ Гайского городского округа действуют 2 хозяйствующих субъекта, основным видом экономической деятельности которых является проведение кадастровых работ, землеустройства. Оба хозяйствующих субъекта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относятся к частной форме собственности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10. Рынок строительства объектов капитального строительства (за исключением жилищного и дорожного строительства)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Внесение в ГИСОГД сведений о правилах землепользования и застройки муниципальных образований, документации по планировке территории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строительства объектов капитального строительства (за исключением жилищного и дорожного строительства)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 1 полугодии сведения не вносились.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Обеспечение предоставления государственных (муниципальных)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Обращений по предоставлению государственных (муниципальных) услуг по выдаче градостроительного плана земельного участка не поступало.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Обращений по предоставлению государственных (муниципальных) услуг по выдаче градостроительного плана земельного участка не поступало.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Обеспечение опубликования и актуализации на официальном сайте администрации Гайского городского округа сети «Интернет»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11. Рынок услуг детского отдыха и оздоровления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детского отдыха и оздоровления, по вопросам организации детского отдыха и оздоровления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услуг детского отдыха и оздоровления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 Рынок добычи общераспространенных полезных ископаемых на участках недр местного значения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производителей к участию в областных и межрегиональных выставках для презентации товара, организации межрегионального сотрудничества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 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 территории Гайского городского округа 4 организации имеют лицензии на право пользования участками недр местного значения, содержащими общераспространенные полезные ископаемые, все они частной формы собственности.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13. Сфера наружной рекламы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Выявление и осуществление демонтажа незаконных рекламных конструкций, развитие сегмента цифровых форматов, внедрение современных и инновационных рекламоносителей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организаций частной формы собственности в сфере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наружной рекламы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 1 полугодие не выявлено фактов размещения  незаконных рекламных конструкций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Актуализация схем размещения рекламных конструкций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1 полугодие 2022 года  схема размещения рекламных конструкций не актуализировалась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на официальных сайтах ОМСУ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Системные мероприятия, направленные на развитие конкурентной среды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269"/>
        <w:gridCol w:w="4983"/>
        <w:gridCol w:w="4748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Наименование системного мероприятия, направленного на содействие развитию конкуренции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о реализации мероприятия, направленного на содействие развитию конкуренции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1. Повышение информированности потребителей о реализации муниципальной политики по развитию конкуренции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Размещение на официальном сайте администрации Гайского городского округа в сети «Интернет» информации о результатах реализации муниципальной политики по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  <w:t>На официальном сайте администрации Гайского городского округа размещается информации о результатах реализации муниципальной политики по развитию конкуренции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2. Развитие конкурентоспособности товаров, работ, услуг субъектов МСП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субъектам МСП по сертификации продукции, выходу на электронные площадки, проведение рекламных кампаний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оказывается  организационно-методической и информационно-консультационной поддержка субъектам МСП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комплекса услуг, сервисов и мер поддержки субъектам МСП, в том числе финансовых (кредитных, гарантийных, лизинговых) услуг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Предусмотрена финансовая поддержка (грант в форме субсидии) во втором полугодие 2022 года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заказчикам и участникам закупок, в том числе являющимся субъектами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Проводились консультационные поддержки заказчикам и участникам закупок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образовательных мероприятий (семинаров, вебинаров, мастер-классов, образовательных программ) для участников закупок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Организовано обучение заказчиков по дополнительной  профессиональной программе повышения квалификации «Противодействие коррупции при осуществлении государственных и муниципальных закупок»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4. Устранение избыточного муниципального регулирования, а также снижение административных барьеров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порядки проведения оценки регулирующего воздействия проектов нормативных правовых актов Гайского городского округа и экспертизы нормативных правовых актов Гайского городского округа, устанавливаемых в соответствии с Федеральным законом от 06.10.2003 № 131-ФЗ «Об общих принципах организации местного самоуправления в Российской Федерации»,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TitlePage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вносятся изменения в  постановление администрации города Гая от 24.02.2016 года № 211-пА «Об утверждении порядков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основании решения Совета депутатов Гайского городского округа от 26.09.2019 № 399 утвержден расчет льготной ставки арендной платы, применяемый в договорах аренды с субъектами МСП, «самозанятыми» гражданами.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5.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составление плана-графика полной инвентаризации муниципального имущества, в том числе закрепленного за предприятиями, учреждениями;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прогнозный план (программу) по приватизации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Полная инвентаризация муниципального имущества запланирована на 2 полугодие (сентябрь-октябрь)2022.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Выявлено движимое имущество, числящееся в муниципальной казне, которое планируется включить в Прогнозный план ( программу) приватизации на 2022 с целью реализации( продажи имущества) на торгах во 2 полугодии 2022г.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Приватизация либо перепрофилирование (изменение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по реализации или предоставлении во владение и (или) пользование, в том числе субъектам МСП,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перепрофилирование (изменение целевого назначения) муниципального имущества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1 полугодии 2022 года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приватизация имущества не планировалась.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на сайте администрации Гайского городского округа, информации о возможности предоставления земельных участков для целей жилищного и иного строительства в соответствии с статьями 39.12, 39.18 Земельного кодекса Российской Федерации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на сайте администрации Гайского городского округа не размещалась.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6. Создание условий для недискриминационного доступа хозяйствующих субъектов на товарные рынки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Рассмотрение обращений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полномочиям органов местного самоуправления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Обращений не поступало.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выявления административных барьеров и проблем, препятствующих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7. Содействие развитию негосударственных (немуниципальных) СОНКО и «социального предпринимательства»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Публикация на сайте администрации Гайского городского округа об оказании комплекса услуг, сервисов и мер поддержки в центре «Мой бизнес»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8.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проведении образовательных мероприятий (семинаров, вебинаров, мастер-классов, образовательных программ) для субъектов МСП, самозанятых граждан и лиц, планирующих начать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9.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Конкурсная поддержка организаций, педагогических работников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36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1 полугодие 2022 года педагоги прошли курсовую подготовку по направлению «Работа с одаренными детьми».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ежегодных конкурсов, соревнований, направленных на выявление одаренных детей и молодежи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 Для всех возрастных категорий обучающихся округа проводятся научно-практические конференции: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научно-практическая конференция учащихся 1-4 классов «Светлячки»;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дистанционная муниципальная научно-практическая конференция обучающихся 5-8 классов «Галилео»;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научно-практическая конференция обучающихся 9-11 классов «Первые шанги».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 В течение 2021-2022 учебного года более 500 обучающихся приняли участие в олимпиадах. В 2021-2022 учебном году продолжается участие обучающихся в олимпиадах утвержденных приказом Министерства науки и высшего образования РФ от 31.08.2021 № 804 «Об утверждении перечня олимпиад школьников и их уровней на 2021/22 учебный год» и приказом Министерства просвещения Российской Федерации от 31.08.2021 № 616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 - спортивной деятельности, а также на пропаганду научных знаний, творческих и спортивных достижений, на 2021-2022 учебный год».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 Проведение ежегодного муниципального этапа конкурса «Ученик года», участие в региональном и всероссийском этапе конкурса «Ученик года».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 Ежегодное участие обучающихся во всех этапах всероссийской олимпиады школьников.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4. Ежегодное участие обучающихся в областной олимпиаде школьников.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10. Обеспечение равных условий доступа к информации о муниципальном имуществе Гайского городского округа, в том числе имуществе, включаемом в перечни для предоставления на льготных условиях субъектам МСП,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администрации Гайского городского округа (далее - уполномоченный орган) в сети «Интернет»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информации на официальном сайте Российской Федерации для размещения информации о проведении торгов (www.torgi.gov.ru) и на официальном сайте уполномоченного органа в сети «Интернет» о приватизации имущества, находящегося в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В связи с тем, что в 1 полугодии 2022 года приватизация муниципального имущества не производилась, размещение информации о проведении торгов на официальном сайте Российской Федерации </w:t>
            </w:r>
            <w:hyperlink r:id="rId2">
              <w:r>
                <w:rPr>
                  <w:rFonts w:cs="Times New Roman"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sz w:val="20"/>
                  <w:szCs w:val="20"/>
                </w:rPr>
                <w:t>www.torgi.gov.ru</w:t>
              </w:r>
            </w:hyperlink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и официальном сайте Администрации Гайского городского округа не осуществлялось.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и актуализация сведений об объектах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Постановлением № 674-пА от 27.05.2022 внесены изменения в Перечень муниципального имущества, свободного от прав третьих лиц, подлежащего предоставлению субъектам малого и среднего предпринимательства. Постановление с перечнем опубликованы 31.05.2022 в газете « Гайская новь» и на официальном сайте Муниципального образования Гайский городской округ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Расширение перечней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Постановлением № 41-пА от 19.01.2022 Перечень муниципального имущества, свободного от прав третьих лиц, подлежащего предоставлению субъектам малого и среднего предпринимательства дополнен новым объектом. Информация опубликована на официальном сайте Муниципального образования Гайский городской округ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11. Разработка и утверждение типовых административных регламентов предоставления муниципальных услуг по выдаче разрешений на строительство и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текущих изменений Градостроительного кодекса  Российской Федерации, иных федеральных законов в области градостроительной деятельности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первом полугодие 2022 года изменения в типовые административные регламенты предоставления муниципальных услуг в сфере строительства не вносились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Управление архитектуры и градостроительства администрации Гайского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28"/>
        <w:gridCol w:w="4929"/>
        <w:gridCol w:w="4929"/>
      </w:tblGrid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рынка</w:t>
            </w:r>
          </w:p>
        </w:tc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</w:tc>
      </w:tr>
      <w:tr>
        <w:trPr/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всех хозяйствующих субъектов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организациями частной формы собственности</w:t>
            </w:r>
          </w:p>
        </w:tc>
      </w:tr>
      <w:tr>
        <w:trPr/>
        <w:tc>
          <w:tcPr>
            <w:tcW w:w="4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9901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9901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3"/>
      <w:type w:val="nextPage"/>
      <w:pgSz w:orient="landscape" w:w="16838" w:h="11906"/>
      <w:pgMar w:left="1134" w:right="1134" w:gutter="0" w:header="709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0e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Heading1Char"/>
    <w:uiPriority w:val="99"/>
    <w:qFormat/>
    <w:rsid w:val="00fc53ca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fc53ca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ListParagraphChar" w:customStyle="1">
    <w:name w:val="List Paragraph Char"/>
    <w:basedOn w:val="DefaultParagraphFont"/>
    <w:link w:val="ListParagraph"/>
    <w:uiPriority w:val="99"/>
    <w:qFormat/>
    <w:locked/>
    <w:rsid w:val="002b4cf2"/>
    <w:rPr>
      <w:rFonts w:ascii="Times New Roman" w:hAnsi="Times New Roman" w:cs="Times New Roman"/>
      <w:sz w:val="24"/>
      <w:szCs w:val="24"/>
      <w:lang w:eastAsia="ru-RU"/>
    </w:rPr>
  </w:style>
  <w:style w:type="character" w:styleId="Fontstyle01" w:customStyle="1">
    <w:name w:val="fontstyle01"/>
    <w:basedOn w:val="DefaultParagraphFont"/>
    <w:uiPriority w:val="99"/>
    <w:qFormat/>
    <w:rsid w:val="001335ab"/>
    <w:rPr>
      <w:rFonts w:ascii="Times New Roman" w:hAnsi="Times New Roman" w:cs="Times New Roman"/>
      <w:color w:val="000000"/>
      <w:sz w:val="24"/>
      <w:szCs w:val="24"/>
    </w:rPr>
  </w:style>
  <w:style w:type="character" w:styleId="Style13">
    <w:name w:val="Интернет-ссылка"/>
    <w:basedOn w:val="DefaultParagraphFont"/>
    <w:uiPriority w:val="99"/>
    <w:rsid w:val="00a737df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uiPriority w:val="99"/>
    <w:qFormat/>
    <w:locked/>
    <w:rsid w:val="006b590a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6b590a"/>
    <w:rPr>
      <w:rFonts w:cs="Times New Roman"/>
    </w:rPr>
  </w:style>
  <w:style w:type="character" w:styleId="NormalWebChar" w:customStyle="1">
    <w:name w:val="Normal (Web) Char"/>
    <w:link w:val="NormalWeb"/>
    <w:uiPriority w:val="99"/>
    <w:qFormat/>
    <w:locked/>
    <w:rsid w:val="001226bb"/>
    <w:rPr>
      <w:rFonts w:ascii="Times New Roman" w:hAnsi="Times New Roman"/>
      <w:sz w:val="24"/>
    </w:rPr>
  </w:style>
  <w:style w:type="character" w:styleId="Applestylespan" w:customStyle="1">
    <w:name w:val="apple-style-span"/>
    <w:basedOn w:val="DefaultParagraphFont"/>
    <w:uiPriority w:val="99"/>
    <w:qFormat/>
    <w:rsid w:val="004e5a15"/>
    <w:rPr>
      <w:rFonts w:cs="Times New Roman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2130a0"/>
    <w:rPr>
      <w:rFonts w:ascii="Calibri" w:hAnsi="Calibri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0187b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uiPriority w:val="99"/>
    <w:qFormat/>
    <w:locked/>
    <w:rsid w:val="000a5c19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Основной текст + Полужирный"/>
    <w:uiPriority w:val="99"/>
    <w:qFormat/>
    <w:rsid w:val="00c55815"/>
    <w:rPr>
      <w:rFonts w:ascii="Times New Roman" w:hAnsi="Times New Roman"/>
      <w:b/>
      <w:sz w:val="27"/>
      <w:shd w:fill="FFFFFF" w:val="clear"/>
    </w:rPr>
  </w:style>
  <w:style w:type="character" w:styleId="CommentTextChar" w:customStyle="1">
    <w:name w:val="Comment Text Char"/>
    <w:basedOn w:val="DefaultParagraphFont"/>
    <w:uiPriority w:val="99"/>
    <w:qFormat/>
    <w:locked/>
    <w:rsid w:val="00903108"/>
    <w:rPr>
      <w:rFonts w:ascii="Times New Roman" w:hAnsi="Times New Roman" w:cs="Times New Roman"/>
      <w:sz w:val="20"/>
      <w:szCs w:val="20"/>
      <w:lang w:eastAsia="ru-RU"/>
    </w:rPr>
  </w:style>
  <w:style w:type="character" w:styleId="Logo" w:customStyle="1">
    <w:name w:val="logo"/>
    <w:basedOn w:val="DefaultParagraphFont"/>
    <w:uiPriority w:val="99"/>
    <w:qFormat/>
    <w:rsid w:val="001163eb"/>
    <w:rPr>
      <w:rFonts w:cs="Times New Roman"/>
    </w:rPr>
  </w:style>
  <w:style w:type="character" w:styleId="Pullright" w:customStyle="1">
    <w:name w:val="pull-right"/>
    <w:basedOn w:val="DefaultParagraphFont"/>
    <w:uiPriority w:val="99"/>
    <w:qFormat/>
    <w:rsid w:val="001163eb"/>
    <w:rPr>
      <w:rFonts w:cs="Times New Roman"/>
    </w:rPr>
  </w:style>
  <w:style w:type="character" w:styleId="Style15" w:customStyle="1">
    <w:name w:val="Основной текст + Не курсив"/>
    <w:basedOn w:val="DefaultParagraphFont"/>
    <w:uiPriority w:val="99"/>
    <w:qFormat/>
    <w:rsid w:val="00f82f75"/>
    <w:rPr>
      <w:rFonts w:ascii="Times New Roman" w:hAnsi="Times New Roman" w:cs="Times New Roman"/>
      <w:i/>
      <w:iCs/>
      <w:color w:val="000000"/>
      <w:spacing w:val="2"/>
      <w:w w:val="100"/>
      <w:sz w:val="23"/>
      <w:szCs w:val="23"/>
      <w:shd w:fill="FFFFFF" w:val="clear"/>
      <w:lang w:val="ru-RU"/>
    </w:rPr>
  </w:style>
  <w:style w:type="character" w:styleId="Strong">
    <w:name w:val="Strong"/>
    <w:basedOn w:val="DefaultParagraphFont"/>
    <w:uiPriority w:val="99"/>
    <w:qFormat/>
    <w:locked/>
    <w:rsid w:val="00772c05"/>
    <w:rPr>
      <w:b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0a5c19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ListParagraphChar"/>
    <w:uiPriority w:val="99"/>
    <w:qFormat/>
    <w:rsid w:val="002b4cf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" w:customStyle="1">
    <w:name w:val="Абзац списка1"/>
    <w:basedOn w:val="Normal"/>
    <w:uiPriority w:val="99"/>
    <w:qFormat/>
    <w:rsid w:val="007201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uiPriority w:val="99"/>
    <w:qFormat/>
    <w:rsid w:val="00b340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iPriority w:val="99"/>
    <w:qFormat/>
    <w:rsid w:val="001226bb"/>
    <w:pPr>
      <w:spacing w:lineRule="auto" w:line="240" w:beforeAutospacing="1" w:afterAutospacing="1"/>
    </w:pPr>
    <w:rPr>
      <w:rFonts w:ascii="Times New Roman" w:hAnsi="Times New Roman"/>
      <w:sz w:val="24"/>
      <w:szCs w:val="20"/>
      <w:lang w:eastAsia="ru-RU"/>
    </w:rPr>
  </w:style>
  <w:style w:type="paragraph" w:styleId="NoSpacing">
    <w:name w:val="No Spacing"/>
    <w:uiPriority w:val="99"/>
    <w:qFormat/>
    <w:rsid w:val="001226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21" w:customStyle="1">
    <w:name w:val="Body Text 21"/>
    <w:basedOn w:val="Normal"/>
    <w:uiPriority w:val="99"/>
    <w:qFormat/>
    <w:rsid w:val="004e5a15"/>
    <w:pPr>
      <w:spacing w:lineRule="auto" w:line="240" w:before="0" w:after="0"/>
      <w:jc w:val="center"/>
    </w:pPr>
    <w:rPr>
      <w:rFonts w:ascii="Bookman Old Style" w:hAnsi="Bookman Old Style" w:eastAsia="Times New Roman"/>
      <w:b/>
      <w:sz w:val="32"/>
      <w:szCs w:val="20"/>
      <w:lang w:eastAsia="ru-RU"/>
    </w:rPr>
  </w:style>
  <w:style w:type="paragraph" w:styleId="Style25">
    <w:name w:val="Footnote Text"/>
    <w:basedOn w:val="Normal"/>
    <w:link w:val="FootnoteTextChar"/>
    <w:uiPriority w:val="99"/>
    <w:rsid w:val="002130a0"/>
    <w:pPr>
      <w:spacing w:lineRule="auto" w:line="240" w:before="0" w:after="0"/>
    </w:pPr>
    <w:rPr>
      <w:sz w:val="20"/>
      <w:szCs w:val="20"/>
    </w:rPr>
  </w:style>
  <w:style w:type="paragraph" w:styleId="3" w:customStyle="1">
    <w:name w:val="Абзац списка3"/>
    <w:basedOn w:val="Normal"/>
    <w:uiPriority w:val="99"/>
    <w:qFormat/>
    <w:rsid w:val="005a1b8f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018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b556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6" w:customStyle="1">
    <w:name w:val="Прижатый влево"/>
    <w:basedOn w:val="Normal"/>
    <w:next w:val="Normal"/>
    <w:uiPriority w:val="99"/>
    <w:qFormat/>
    <w:rsid w:val="009c3038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Annotationtext">
    <w:name w:val="annotation text"/>
    <w:basedOn w:val="Normal"/>
    <w:link w:val="CommentTextChar"/>
    <w:uiPriority w:val="99"/>
    <w:qFormat/>
    <w:rsid w:val="0090310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ConsPlusTitle" w:customStyle="1">
    <w:name w:val="ConsPlusTitle"/>
    <w:uiPriority w:val="99"/>
    <w:qFormat/>
    <w:rsid w:val="001a26a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99"/>
    <w:rsid w:val="005476fe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476f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5c65ab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681</TotalTime>
  <Application>LibreOffice/7.3.4.2$Windows_X86_64 LibreOffice_project/728fec16bd5f605073805c3c9e7c4212a0120dc5</Application>
  <AppVersion>15.0000</AppVersion>
  <Pages>12</Pages>
  <Words>3110</Words>
  <Characters>24006</Characters>
  <CharactersWithSpaces>26836</CharactersWithSpaces>
  <Paragraphs>289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2020-02-04T10:14:00Z</dcterms:created>
  <dc:creator>Абдуллин</dc:creator>
  <dc:description/>
  <dc:language>ru-RU</dc:language>
  <cp:lastModifiedBy/>
  <cp:lastPrinted>2022-07-14T10:44:50Z</cp:lastPrinted>
  <dcterms:modified xsi:type="dcterms:W3CDTF">2022-07-14T10:50:40Z</dcterms:modified>
  <cp:revision>17</cp:revision>
  <dc:subject/>
  <dc:title>Отчет о достижении показателей, установленных планом мероприятий («дорожной картой»)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