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Отчет о достижении показателей, установленных планом мероприятий («дорожной картой»)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по содействию развитию конкуренции в Гайском городском округе на 2022– 2025 годы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по итогам 2024 года</w:t>
      </w:r>
    </w:p>
    <w:p>
      <w:pPr>
        <w:pStyle w:val="Style18"/>
        <w:suppressAutoHyphens w:val="true"/>
        <w:jc w:val="center"/>
        <w:rPr>
          <w:color w:val="000000"/>
          <w:sz w:val="20"/>
        </w:rPr>
      </w:pPr>
      <w:r>
        <w:rPr>
          <w:color w:val="000000"/>
          <w:sz w:val="20"/>
        </w:rPr>
      </w:r>
      <w:bookmarkStart w:id="0" w:name="_GoBack"/>
      <w:bookmarkStart w:id="1" w:name="_GoBack"/>
      <w:bookmarkEnd w:id="1"/>
    </w:p>
    <w:tbl>
      <w:tblPr>
        <w:tblW w:w="16047" w:type="dxa"/>
        <w:jc w:val="left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52"/>
        <w:gridCol w:w="14"/>
        <w:gridCol w:w="2834"/>
        <w:gridCol w:w="1"/>
        <w:gridCol w:w="2128"/>
        <w:gridCol w:w="849"/>
        <w:gridCol w:w="852"/>
        <w:gridCol w:w="708"/>
        <w:gridCol w:w="2153"/>
        <w:gridCol w:w="1191"/>
        <w:gridCol w:w="4763"/>
      </w:tblGrid>
      <w:tr>
        <w:trPr>
          <w:trHeight w:val="265" w:hRule="atLeast"/>
        </w:trPr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ключевого показателя (единица измерения)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Числовое значение показателя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Источник данных для расчета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Информация о реализации мероприятия в отчетном периоде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5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val="ru-RU" w:bidi="ar-SA"/>
              </w:rPr>
              <w:t>Рынок семеноводства</w:t>
            </w:r>
          </w:p>
        </w:tc>
      </w:tr>
      <w:tr>
        <w:trPr>
          <w:trHeight w:val="1519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Оказание информационной помощи 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на рынке семеноводства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течение года оказывается методическая и консультативная помощь. Также на официальном сайте администрации Гайского городского округа размещается вся необходимая информация. На территории Гайского городского округа деятельность в области семеноводства осуществляют 4 семеноводческих хозяйства.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  <w:lang w:val="ru-RU" w:bidi="ar-SA"/>
              </w:rPr>
              <w:t>2. Рынок услуг связи, в том числе услуг по предоставлению широкополосного доступа к сети «Интернет»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муниципальной собственности для использования операторами связи с целью размещения и строительства сетей и сооружений связи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Участниками рынка связи, в том числе услуг по предоставлению широкополосного доступа к сети «Интернет» являются 7 операторов связи.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 они относятся к частной форме собственности и создают конкурентную среду, позволяющую повышать качество услуг и формировать ценовую политику.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3.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благоустройству городской среды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выполнения работ по благоустройству городской среды, по вопросам формирования комфортной городской среды в рамках реализации федерального проекта «Формирование комфортной городской среды»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рамках реализации регионального проекта «Формирование комфортной городской среды» в Гайском городском округе выполнены следующие мероприятия: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Заключено дополнительное соглашение к Соглашению о предоставлении субсидии из бюджета Оренбургской области бюджету Гайского городского округа Оренбургской области на реализацию программ формирования современной городской среды от 24 января 2023г. № 53713000-1-2023-004/4, согласно которому общий объем бюджетных ассигнований, предусматриваемых в бюджете ГГО на финансовое обеспечение расходных обязательств в целях софинансирования которых предоставляется субсидия в 2024 году составляет 16 271 399 рублей 38 коп.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Работы по муниципальному контракту № 0853500000323005170 выполнены в полном объеме. Муниципальный контракт оплачен в феврале 2024 года.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15 марта по 30 апреля 2024 года на платформе ФКГС проходило голосование за объекты благоустройства по программе «Формирование комфортной городской среды».  Всего в голосовании приняли участие 9395 человек, при плане 9300. Их голоса распределились следующим образом: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Сквер по ул. Коммунистической (2 этап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 - 5119;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Сквер по ул. Ленина 9 (территория за кинотеатром «Юность») - 2490;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Сквер по ул. Орской (от пр. Победы д о пер. Парковый)- 1293;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Сквер по ул. Молодежной 10 (территория, прилегающая к ГАПОУ «Орский индустриальный колледж») - 493.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благоустройстве Сквера по ул. Коммунистической (2 этап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 планируется строительство спортивной и детской игровой площадки. Также запланированы: установка опор освещения со светильниками, установка камер видеонаблюдения, покрытие из тротуарной плитки, площадки с прорезиненным покрытием, установка лавочек и урн, озеленение территории.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Согласно проектной документации сумма для производства данных работ составляет 14 057 380 рублей.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4.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мероприятий по исполнению требований законодательства в части исполнения обязательств по выбору способа управления многоквартирным домом, где собственники помещений многоквартирного дома не определились с выбором способа управления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доли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Управление в многоквартирных домах, Гайского городского округа </w:t>
            </w:r>
            <w:hyperlink r:id="rId2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val="ru-RU" w:eastAsia="ru-RU"/>
                </w:rPr>
                <w:t>о</w:t>
              </w:r>
            </w:hyperlink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 w:eastAsia="ru-RU"/>
              </w:rPr>
              <w:t>существляется управляющими компаниями, дома находящиеся на непосредственном способе управления заключили договор на оказание аварийных услуг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в открытом доступе информации о многоквартирных домах, находящихся на стадии завершения строительства, а также о сдаче указанных объектов с указанием срока ввода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35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Формирование документации проведения аукционов (конкурсов) в электронной форме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Проведено 22 электронных запроса котировок, из них 8 признаны несостоявшимися.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Открытые конкурсы на право осуществления перевозок по муниципальным маршрутам регулярных перевозок автомобильным транспортом по нерегулируемым тарифам с учетом предложений, поступивших от перевозчиков негосударственных форм собственности не проводились.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с учетом полученной информации по результатам мониторинга пассажиропотока и потребностей Гайского городского округа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Корректировка документа планирования регулярных перевозок не проводилась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муниципальные контракты на выполнение работ по перевозке пассажиров, связанные с осуществлением регулярных перевозок по муниципальным маршрутам регулярных перевозок по регулируемым тарифам, возможности привлечения к исполнению контрактов соисполнителей из числа субъектов МСП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закупок были проведены с преимуществом для  субъектов МСП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6. Рынок оказания услуг по ремонту автотранспортных средств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организационно-методической и информационно-консультационной поддержки негосударственным организациям и ИП, осуществляющим деятельность в сфере оказания услуг по ремонту автотранспортных средств, по вопросам организации деятельности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</w:t>
            </w:r>
            <w:r>
              <w:rPr>
                <w:rStyle w:val="Fontstyle01"/>
                <w:color w:val="000000"/>
                <w:sz w:val="20"/>
                <w:szCs w:val="20"/>
                <w:lang w:val="ru-RU"/>
              </w:rPr>
              <w:t>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предоставляется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организационно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-методическая и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информационно-консультационной поддержка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</w:rPr>
              <w:t xml:space="preserve">7. Рынок услуг розничной торговли лекарственными препаратами, </w:t>
            </w:r>
            <w:r>
              <w:rPr>
                <w:rStyle w:val="Fontstyle01"/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медицинскими изделиями и сопутствующими товарами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Оказание информационно-консультационной поддержки негосударственным организациям и ИП, осуществляющим фармацевтическую деятельность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 состоянию на 31.12.2024 года рынок фармацевтических услуг Гайского городского округа представлен 22 объектами, осуществляющим розничную торговлю лекарственными препаратами для медицинского применения, в том числе 20 аптеками, 2 аптечными пунктами. Из 22 аптечных организаций: 1 государственная, 21 частная организация и ИП.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Fontstyle01"/>
                <w:b/>
                <w:color w:val="000000"/>
                <w:sz w:val="20"/>
                <w:szCs w:val="20"/>
                <w:lang w:eastAsia="ru-RU"/>
              </w:rPr>
              <w:t>8. Рынок ритуальных услуг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инвентаризации кладбищ и мест захоронений на них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 (процентов)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Инвентаризация не проводилась.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Ведение реестров кладбищ и мест захоронений по результатам инвентаризации, с размещением указанных реестров на официальных сайтах органов местного самоуправления в сети «Интернет»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Реестр кладбищ и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мест захоронений размещен  на официальном сайте  администрации Гайского городского округа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Создание и размещение информации об объектах, предоставляющих услуги по организации похорон и связанные с ними услуги на официальном сайте администрации Гайского городского округа в сети «Интернет», курирующего сферу ритуальных услуг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9. Рынок кадастровых и землеустроительных работ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выявления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</w:rPr>
              <w:t>доли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рынке кадастровых и землеустроительных работ Гайского городского округа действуют 2 хозяйствующих субъекта, основным видом экономической деятельности которых является проведение кадастровых работ, землеустройства. Оба хозяйствующих субъекта </w:t>
            </w:r>
            <w:r>
              <w:rPr>
                <w:rStyle w:val="Fontstyle01"/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относятся к частной форме собственности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10. Рынок строительства объектов капитального строительства (за исключением жилищного и дорожного строительства)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16.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Внесение в ГИСОГД сведений о правилах землепользования и застройки муниципальных образований, документации по планировке территории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доли организаций частной формы собственности в сфере строительства объектов капитального строительства (за исключением жилищного и дорожного строительства)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100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В 2024 год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val="ru-RU" w:eastAsia="ru-RU"/>
              </w:rPr>
              <w:t>у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 xml:space="preserve"> в ГИСОГД вносились сведения о правилах землепользования и застройки муниципального образования Гайский Городской округ - 1, документация по планировке территории - 4.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17.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предоставления государственных (муниципальных) услуг по выдаче градостроительного плана земельного участка исключительно в электронном виде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За 2024 год поступило 42 обращения по предоставлению государственных (муниципальных) услуг по выдаче градостроительного плана земельного участка.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18.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исключительно в электронном виде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За 2024 год было выдано 26</w:t>
            </w:r>
            <w:r>
              <w:rPr>
                <w:rFonts w:cs="Times New Roman" w:ascii="Times New Roman" w:hAnsi="Times New Roman"/>
                <w:color w:val="000000"/>
                <w:sz w:val="20"/>
                <w:shd w:fill="auto" w:val="clear"/>
                <w:lang w:eastAsia="ru-RU"/>
              </w:rPr>
              <w:t xml:space="preserve"> разрешений на строительство и 19 на ввод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объекта в эксплуатацию.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19.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Обеспечение опубликования и актуализации на официальном сайте администрации Гайского городского округа сети «Интернет»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auto" w:val="clear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11. Рынок услуг детского отдыха и оздоровления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информационно-консультационной поддержки негосударственным организациям и ИП, осуществляющим деятельность в сфере детского отдыха и оздоровления, по вопросам организации детского отдыха и оздоровления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организаций частной формы собственности в сфере услуг детского отдыха и оздоровления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 Рынок добычи общераспространенных полезных ископаемых на участках недр местного значения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производителей к участию в областных и межрегиональных выставках для презентации товара, организации межрегионального сотрудничества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 (процентов)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 территории Гайского городского округа 4 организации имеют лицензии на право пользования участками недр местного значения, содержащими общераспространенные полезные ископаемые, все они частной формы собственности.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13. Сфера наружной рекламы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Выявление и осуществление демонтажа незаконных рекламных конструкций, развитие сегмента цифровых форматов, внедрение современных и инновационных рекламоносителей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01"/>
                <w:color w:val="000000"/>
                <w:sz w:val="20"/>
                <w:szCs w:val="20"/>
              </w:rPr>
              <w:t xml:space="preserve">доля организаций частной формы собственности в сфере </w:t>
            </w:r>
            <w:r>
              <w:rPr>
                <w:rStyle w:val="Fontstyle01"/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наружной рекламы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 2024 год не выявлено фактов размещения  незаконных рекламных конструкций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Актуализация схем размещения рекламных конструкций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2024 году схема размещения рекламных конструкций не актуализировалась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на официальных сайтах ОМСУ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1849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Торги не проводились</w:t>
            </w:r>
          </w:p>
        </w:tc>
      </w:tr>
      <w:tr>
        <w:trPr>
          <w:trHeight w:val="34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 Рынок туристических и рекреационных услуг</w:t>
            </w:r>
          </w:p>
        </w:tc>
      </w:tr>
      <w:tr>
        <w:trPr>
          <w:trHeight w:val="1849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повышения квалификации представителей хозяйствующих субъектов, осуществляющих туристическую деятельность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собственности, ИП в сфере туризма от общего количества организаций в сфере туризма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размещается вся необходимая информация.</w:t>
            </w:r>
          </w:p>
        </w:tc>
      </w:tr>
      <w:tr>
        <w:trPr>
          <w:trHeight w:val="345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</w:tabs>
              <w:suppressAutoHyphens w:val="true"/>
              <w:bidi w:val="0"/>
              <w:spacing w:before="0" w:after="0"/>
              <w:ind w:left="0" w:right="0" w:firstLine="85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 Рынок розничной торговли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мониторинга с целью определения административных барьеров экономических ограничений и иных факторов, являющихся барьерами входа на рынок (выход с рынка) и их устранение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увеличение количества НТО и торговых мест под них к 2025 году по отношению к уровню 2021 года</w:t>
            </w:r>
          </w:p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Мониторинг с целью определения административных барьеров экономических ограничений и иных факторов, являющихся барьерами входа на рынок (выход с рынка) и их устранение проводиться по мере необходимости.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 участием предпринимательского сообщества подготовка изменений в схему размещения НТО (увеличение количества мест под размещение НТО)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Изменения в схему размещения НТО вносились в феврале 2024 года постановлением администрации Гайского городского округа от 12.02.2024 № 265-пА «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Об утверждении схемы размещения нестационарных торговых объектов на территории Гайского городского округа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» и в августе 2024 года  постановлением администрации Гайского городского округа от 30.08.2024 № 1336-пА «О внесении изменений в постановление администрации Гайского городского округа от 12.02.2024 № 265-пА «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Об утверждении схемы размещения нестационарных торговых объектов на территории Гайского городского округа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»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открытых опросов предпринимателей в целях определения спроса/потребности в предоставлении мест под размещение НТО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2024 году проводились открытые опросы предпринимателей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 целях определения спроса/потребности в предоставлении мест под размещение НТО. По итогам опроса были предоставлены земельные участки на конкурсной основе.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Утверждение актуализированной схемы размещения НТО</w:t>
            </w:r>
          </w:p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nsPlus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Постановление администрации Гайского городского округа от 12.02.2024 № 265-пА «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Об утверждении схемы размещения нестационарных торговых объектов на территории Гайского городского округа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»</w:t>
            </w:r>
          </w:p>
        </w:tc>
      </w:tr>
      <w:tr>
        <w:trPr>
          <w:trHeight w:val="160" w:hRule="atLeast"/>
        </w:trPr>
        <w:tc>
          <w:tcPr>
            <w:tcW w:w="160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 Рынок услуг дополнительного образования детей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Повышение качества профессиональной подготовки педагогических кадров</w:t>
            </w:r>
          </w:p>
        </w:tc>
        <w:tc>
          <w:tcPr>
            <w:tcW w:w="21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Показатели ежеквартального мониторинга регионального проекта «Успех каждого ребенка»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hyperlink r:id="rId3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lang w:eastAsia="ru-RU"/>
                </w:rPr>
                <w:t>https://disk.yandex.ru/edit/d/mmT6maKTLk6MY1FI4wDStCPegnqahzm72s0qoIz-cKg6RlBodVdPR0xIZw</w:t>
              </w:r>
            </w:hyperlink>
          </w:p>
        </w:tc>
        <w:tc>
          <w:tcPr>
            <w:tcW w:w="1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 xml:space="preserve">= </w:t>
            </w: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Vn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0"/>
                <w:lang w:val="en-US"/>
              </w:rPr>
              <w:t>Vo</w:t>
            </w:r>
            <w:r>
              <w:rPr>
                <w:rFonts w:cs="Times New Roman" w:ascii="Times New Roman" w:hAnsi="Times New Roman"/>
                <w:color w:val="000000"/>
                <w:sz w:val="20"/>
              </w:rPr>
              <w:t>*100%</w:t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Педагоги дополнительного образования приняли участие в: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курсы повышения квалификации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курсы переподготовки;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краткосрочные курсы;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аттестация педагогических работников;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ММО (муниципальное методическое объединение) педагогов дополнительного образования;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4" w:leader="none"/>
              </w:tabs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вебинары, семинары, мастер-классы, научно-практические конференции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Материально-техническое и информационное обеспечение дополнительных образовательных учреждений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 (УДО)  обеспечены необходимыми техническими средствами, подключены к сети Интернет.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Все УДО имеют официальные сайты, странички в социальных сетях. Проводилась работа по сохранению  и  развитие сети УДО. Созданы условия для развития дополнительного образования.  Сохранены  реализуемые образовательные программы  по приоритетным направлениям дополнительного образования</w:t>
            </w:r>
          </w:p>
        </w:tc>
      </w:tr>
      <w:tr>
        <w:trPr>
          <w:trHeight w:val="160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Работа муниципального опорного центра  (МОЦ) дополнительного образования на базе МАУДО ЦДТ «Радуга»</w:t>
            </w:r>
          </w:p>
        </w:tc>
        <w:tc>
          <w:tcPr>
            <w:tcW w:w="212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Оказана методическая помощь в развитии дополнительного образования организациям дополнительного образования всех форм собственности, регистрация детей на портале дополнительного образования Навигатор, экспертная проверка дополнительных общеразвивающих программ, реализация программ по ПФДО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Системные мероприятия, направленные на развитие конкурентной среды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tbl>
      <w:tblPr>
        <w:tblW w:w="14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269"/>
        <w:gridCol w:w="4983"/>
        <w:gridCol w:w="4748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Наименование системного мероприятия, направленного на содействие развитию конкуренции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о реализации мероприятия, направленного на содействие развитию конкуренции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1. Повышение информированности потребителей о реализации муниципальной политики по развитию конкуренции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Размещение на официальном сайте администрации Гайского городского округа в сети «Интернет» информации о результатах реализации муниципальной политики по развитию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stParagraphChar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ru-RU"/>
              </w:rPr>
              <w:t>На официальном сайте администрации Гайского городского округа размещается информации о результатах реализации муниципальной политики по развитию конкуренции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2. Развитие конкурентоспособности товаров, работ, услуг субъектов МСП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субъектам МСП по сертификации продукции, выходу на электронные площадки, проведение рекламных кампаний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оказывается  организационно-методической и информационно-консультационной поддержка субъектам МСП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комплекса услуг, сервисов и мер поддержки субъектам МСП, в том числе финансовых (кредитных, гарантийных, лизинговых) услуг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соответствии с распоряжением администрации Гайского городского округа от 14.06.2024 №  164-рА «О проведении конкурсного отбора на предоставление грантов в форме субсидий начинающим субъектам малого и среднего предпринимательства Гайского городского округа, а также самозанятым гражданам на создание и развитие собственного бизнеса» был объявлен конкурс на подачу заявок на предоставление гранта. Заявок не поступало.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3.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Оказание организационно-методической и информационно-консультационной поддержки заказчикам и участникам закупок, в том числе являющимся субъектами МСП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Оказывалась информационно-консультационная поддержка заказчикам и участникам закупок, в том числе являющимся субъектами МСП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lef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образовательных мероприятий (семинаров, вебинаров, мастер-классов, образовательных программ) для участников закупок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2024 год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образовательные мероприятия (семинары, вебинары, мастер-классы, образовательные программы) для участников закупок не проводились.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муниципальных закупок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4. Устранение избыточного муниципального регулирования, а также снижение административных барьеров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в порядки проведения оценки регулирующего воздействия проектов нормативных правовых актов Гайского городского округа и экспертизы нормативных правовых актов Гайского городского округа, устанавливаемых в соответствии с Федеральным законом от 06.10.2003 № 131-ФЗ «Об общих принципах организации местного самоуправления в Российской Федерации», пунктов, предусматривающих анализ воздействия таких проектов актов на состояние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TitlePage"/>
              <w:widowControl w:val="false"/>
              <w:snapToGrid w:val="false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По мере необходимости вносятся изменения в  постановление администрации города Гая от 24.02.2016 года № 211-пА «Об утверждении порядков проведения оценки регулирующего воздействия проектов нормативных правовых актов и экспертизы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 основании решения Совета депутатов Гайского городского округа от 26.09.2019 № 399 утвержден расчет льготной ставки арендной платы, применяемый в договорах аренды с субъектами МСП, «самозанятыми» гражданами.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5. 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составление плана-графика полной инвентаризации муниципального имущества, в том числе закрепленного за предприятиями, учреждениями;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включение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прогнозный план (программу) по приватизации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ind w:left="0" w:right="0" w:firstLine="283"/>
              <w:jc w:val="center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По итогам инвентаризации определено имущество не соответствующее требованиям отнесения к категории имущества, предназначенного для реализации функций органов местного управления, это гаражи, расположенные по адресу: г. Гай, ул. Октябрьская д.25а (5 шт.) и ул. Октябрьская, д. 27а(2 шт.), ОНС ,расположенный по адресу : 8 микрорайон Реализация 2 гаражей по адресу: Октябрьская 25а и ОНС по адресу : 8 микрорайон осуществлена в августе 2024 в соответствии  с планом приватизации на 2024 год, Реализация 3 гаражей по адресу: ул.  Октябрьская 25а и 2 гаражей по адресу : ул. Октябрьская 27а включена в план приватизации на 2025 год (1 квартал)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Приватизация либо перепрофилирование (изменение целевого назначения)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по реализации или предоставлении во владение и (или) пользование, в том числе субъектам МСП,</w:t>
            </w:r>
          </w:p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перепрофилирование (изменение целевого назначения) муниципального имущества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В 1 полугодии 2024 года были проведены публичные торги по реализации или предоставлении во владение и (или) пользование, в том числе субъектам МСП, по итогам которых были заключены 3 контракта.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на сайте администрации Гайского городского округа, информации о возможности предоставления земельных участков для целей жилищного и иного строительства в соответствии с статьями 39.12, 39.18 Земельного кодекса Российской Федерации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Информация на сайте администрации Гайского городского округа не размещалась.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6. Создание условий для недискриминационного доступа хозяйствующих субъектов на товарные рынки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Рассмотрение обращений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полномочиям органов местного самоуправления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Обращений не поступало.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проведение образовательных мероприятий (семинаров, вебинаров, мастер-классов, образовательных программ) с целью выявления административных барьеров и проблем, препятствующих развитию конкуренции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7. Содействие развитию негосударственных (немуниципальных) СОНКО и «социального предпринимательства»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Публикация на сайте администрации Гайского городского округа об оказании комплекса услуг, сервисов и мер поддержки в центре «Мой бизнес»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8.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Информирование о проведении образовательных мероприятий (семинаров, вебинаров, мастер-классов, образовательных программ) для субъектов МСП, самозанятых граждан и лиц, планирующих начать предпринимательскую деятельность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На официальном сайте администрации Гайского городского округа и в мессенджерах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 w:eastAsia="ru-RU"/>
              </w:rPr>
              <w:t xml:space="preserve"> Telegram WatsAPP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ru-RU"/>
              </w:rPr>
              <w:t>размещается вся необходимая информация.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перспективного развития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9.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Конкурсная поддержка организаций, педагогических работников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В 2024 году 101 педагог дополнительного образования стали победителями конкурсов педагогического мастерства регионального, федерального и международного уровней. Ежегодно педагоги дополнительного образования принимают участие в муниципальном и региональном конкурсе «Сердце отдаю детям». В 2024 году в номинации «Педагог дополнительного образования по художественной направленности» обладателем диплома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степени стал педагог дополнительного образования МАУДО ЦДТ «Радуга» Анисимова Наталья Борисовна. Активно педагоги в 2024 году принимали участие в муниципальном этапе областного дистанционного турнира по медийно-информационной грамотности #Знаю МИГ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Проведение ежегодных конкурсов, соревнований, направленных на выявление одаренных детей и молодежи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В 2024 году в УДО проведены конкурсы, соревнования, направленные на выявления одаренных детей и молодежи, в соответствии с планами работы УДО и отдела образования, такие как научно –практические конференции «Светлячки», «Галилео», муниципальная игра «Что? Где? Когда?» муниципальные конкурсы, фестивали «Талант. Музыка. Дети», «Зажги свою звезду», «Ученик года-2024», активно обучающиеся в 2024 году принимали участие в муниципальном этапе областного дистанционного турнира по медийно-информационной грамотности #Знаю МИГ, спортивные состязания и соревнования. На региональном, Всероссийском и международном конкурсах в 2024 году победителями стали 1245 воспитанников УДО. 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Отдел образования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10. Обеспечение равных условий доступа к информации о муниципальном имуществе Гайского городского округа, в том числе имуществе, включаемом в перечни для предоставления на льготных условиях субъектам МСП,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администрации Гайского городского округа (далее - уполномоченный орган) в сети «Интернет»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Размещение информации на официальном сайте Российской Федерации для размещения информации о проведении торгов (www.torgi.gov.ru) и на официальном сайте уполномоченного органа в сети «Интернет» о приватизации имущества, находящегося в муниципальной собственности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На официальном сайте Российской Федерации для размещения информации о проведении торгов (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/>
              </w:rPr>
              <w:t>www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/>
              </w:rPr>
              <w:t>torgi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/>
              </w:rPr>
              <w:t>gov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en-US"/>
              </w:rPr>
              <w:t>ru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) размещена информация о планах приватизации на 2023-2025 годы, отчет об исполнении плана приватизации за 2023 год. В течение 2024 года размещались извещения о продаже муниципального имущества в количестве 6 штук 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Опубликование и актуализация сведений об объектах муниципальной собственности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На сайте администрации Гайского муниципального  округа в разделе « Муниципальное имущество» в подразделе « Имущественная поддержка субъектов МСП» размещен перечень муниципального имущества для предоставления субъектам МСП, Перечень систематически актуализируется по мере внесения в него изменений.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Расширение перечней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0"/>
                <w:szCs w:val="20"/>
              </w:rPr>
              <w:t>В течение 2024 года перечень муниципального имущества, предназначенного для предоставления субъектам МСП увеличен на 1 объект недвижимости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Муниципальное казенное имущество Комитет по управлению имуществом администрации Гайского городского округа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11. Разработка и утверждение типовых административных регламентов предоставления муниципальных услуг по выдаче разрешений на строительство и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>
        <w:trPr>
          <w:trHeight w:val="351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Мониторинг текущих изменений Градостроительного кодекса  Российской Федерации, иных федеральных законов в области градостроительной деятельности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-Административный регламент от 12.01.2024 №09-пА «Выдача градостроительного плана земельного участка»;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-Административный регламент от 12.01.2024 №10-пА «Предоставление разрешения на условно разрешенный вид использования земельного участка или объекта капитального строительства»;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Административный регламент от 12.01.2024 №11-пА «Предоставление разрешения на отклонение от предельных параметров разрешенного строительства, реконструкции объекта капитального строительства»;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-Административный регламент от 09.02.2024 №254-пА «Выдача разрешения на ввод объекта в эксплуатацию»;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Административный регламент от 20.02.2024 №307-пА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-Административный регламент от 07.03.2024 №393-пА «Согласование проведения переустройства и (или) перепланировки помещения в многоквартирном доме»;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Административный регламент от 07.03.2024 №394-пА «Выдача разрешения на установку и эксплуатацию рекламных конструкций на территории Гайского городского округа, аннулирование такого разрешения»;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-Административный регламент от 22.04.2024 № 691-пА «Присвоение адреса объекту адресации. Изменение и аннулирование такого адреса»;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-Административный регламент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-пА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разрешения на осуществление земляных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-Административный регламент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-пА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-Административный регламент от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-пА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информационной вывески, согласование дизайн-проекта размещения вывески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Управление архитектуры и градостроительства администрации Гайского городского округа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928"/>
        <w:gridCol w:w="4929"/>
        <w:gridCol w:w="4929"/>
      </w:tblGrid>
      <w:tr>
        <w:trPr/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рынка</w:t>
            </w:r>
          </w:p>
        </w:tc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Показатели</w:t>
            </w:r>
          </w:p>
        </w:tc>
      </w:tr>
      <w:tr>
        <w:trPr/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всех хозяйствующих субъектов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на рынке товаров, работ, услуг (количество перевезенных пассажиров) в натуральном выражении организациями частной формы собственности</w:t>
            </w:r>
          </w:p>
        </w:tc>
      </w:tr>
      <w:tr>
        <w:trPr/>
        <w:tc>
          <w:tcPr>
            <w:tcW w:w="4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119737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10215</w:t>
            </w:r>
          </w:p>
        </w:tc>
      </w:tr>
    </w:tbl>
    <w:p>
      <w:pPr>
        <w:pStyle w:val="Normal"/>
        <w:spacing w:before="0" w:after="200"/>
        <w:rPr>
          <w:color w:val="000000"/>
        </w:rPr>
      </w:pPr>
      <w:r>
        <w:rPr>
          <w:color w:val="000000"/>
        </w:rPr>
      </w:r>
    </w:p>
    <w:sectPr>
      <w:headerReference w:type="default" r:id="rId4"/>
      <w:type w:val="nextPage"/>
      <w:pgSz w:orient="landscape" w:w="16838" w:h="11906"/>
      <w:pgMar w:left="1134" w:right="1134" w:gutter="0" w:header="709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0e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Heading1Char"/>
    <w:uiPriority w:val="99"/>
    <w:qFormat/>
    <w:rsid w:val="00fc53ca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fc53ca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ListParagraphChar" w:customStyle="1">
    <w:name w:val="List Paragraph Char"/>
    <w:basedOn w:val="DefaultParagraphFont"/>
    <w:link w:val="ListParagraph"/>
    <w:uiPriority w:val="99"/>
    <w:qFormat/>
    <w:locked/>
    <w:rsid w:val="002b4cf2"/>
    <w:rPr>
      <w:rFonts w:ascii="Times New Roman" w:hAnsi="Times New Roman" w:cs="Times New Roman"/>
      <w:sz w:val="24"/>
      <w:szCs w:val="24"/>
      <w:lang w:eastAsia="ru-RU"/>
    </w:rPr>
  </w:style>
  <w:style w:type="character" w:styleId="Fontstyle01" w:customStyle="1">
    <w:name w:val="fontstyle01"/>
    <w:basedOn w:val="DefaultParagraphFont"/>
    <w:uiPriority w:val="99"/>
    <w:qFormat/>
    <w:rsid w:val="001335ab"/>
    <w:rPr>
      <w:rFonts w:ascii="Times New Roman" w:hAnsi="Times New Roman" w:cs="Times New Roman"/>
      <w:color w:val="000000"/>
      <w:sz w:val="24"/>
      <w:szCs w:val="24"/>
    </w:rPr>
  </w:style>
  <w:style w:type="character" w:styleId="Style13">
    <w:name w:val="Интернет-ссылка"/>
    <w:basedOn w:val="DefaultParagraphFont"/>
    <w:uiPriority w:val="99"/>
    <w:rsid w:val="00a737df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uiPriority w:val="99"/>
    <w:qFormat/>
    <w:locked/>
    <w:rsid w:val="006b590a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6b590a"/>
    <w:rPr>
      <w:rFonts w:cs="Times New Roman"/>
    </w:rPr>
  </w:style>
  <w:style w:type="character" w:styleId="NormalWebChar" w:customStyle="1">
    <w:name w:val="Normal (Web) Char"/>
    <w:link w:val="NormalWeb"/>
    <w:uiPriority w:val="99"/>
    <w:qFormat/>
    <w:locked/>
    <w:rsid w:val="001226bb"/>
    <w:rPr>
      <w:rFonts w:ascii="Times New Roman" w:hAnsi="Times New Roman"/>
      <w:sz w:val="24"/>
    </w:rPr>
  </w:style>
  <w:style w:type="character" w:styleId="Applestylespan" w:customStyle="1">
    <w:name w:val="apple-style-span"/>
    <w:basedOn w:val="DefaultParagraphFont"/>
    <w:uiPriority w:val="99"/>
    <w:qFormat/>
    <w:rsid w:val="004e5a15"/>
    <w:rPr>
      <w:rFonts w:cs="Times New Roman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2130a0"/>
    <w:rPr>
      <w:rFonts w:ascii="Calibri" w:hAnsi="Calibri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00187b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uiPriority w:val="99"/>
    <w:qFormat/>
    <w:locked/>
    <w:rsid w:val="000a5c19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Основной текст + Полужирный"/>
    <w:uiPriority w:val="99"/>
    <w:qFormat/>
    <w:rsid w:val="00c55815"/>
    <w:rPr>
      <w:rFonts w:ascii="Times New Roman" w:hAnsi="Times New Roman"/>
      <w:b/>
      <w:sz w:val="27"/>
      <w:shd w:fill="FFFFFF" w:val="clear"/>
    </w:rPr>
  </w:style>
  <w:style w:type="character" w:styleId="CommentTextChar" w:customStyle="1">
    <w:name w:val="Comment Text Char"/>
    <w:basedOn w:val="DefaultParagraphFont"/>
    <w:uiPriority w:val="99"/>
    <w:qFormat/>
    <w:locked/>
    <w:rsid w:val="00903108"/>
    <w:rPr>
      <w:rFonts w:ascii="Times New Roman" w:hAnsi="Times New Roman" w:cs="Times New Roman"/>
      <w:sz w:val="20"/>
      <w:szCs w:val="20"/>
      <w:lang w:eastAsia="ru-RU"/>
    </w:rPr>
  </w:style>
  <w:style w:type="character" w:styleId="Logo" w:customStyle="1">
    <w:name w:val="logo"/>
    <w:basedOn w:val="DefaultParagraphFont"/>
    <w:uiPriority w:val="99"/>
    <w:qFormat/>
    <w:rsid w:val="001163eb"/>
    <w:rPr>
      <w:rFonts w:cs="Times New Roman"/>
    </w:rPr>
  </w:style>
  <w:style w:type="character" w:styleId="Pullright" w:customStyle="1">
    <w:name w:val="pull-right"/>
    <w:basedOn w:val="DefaultParagraphFont"/>
    <w:uiPriority w:val="99"/>
    <w:qFormat/>
    <w:rsid w:val="001163eb"/>
    <w:rPr>
      <w:rFonts w:cs="Times New Roman"/>
    </w:rPr>
  </w:style>
  <w:style w:type="character" w:styleId="Style15" w:customStyle="1">
    <w:name w:val="Основной текст + Не курсив"/>
    <w:basedOn w:val="DefaultParagraphFont"/>
    <w:uiPriority w:val="99"/>
    <w:qFormat/>
    <w:rsid w:val="00f82f75"/>
    <w:rPr>
      <w:rFonts w:ascii="Times New Roman" w:hAnsi="Times New Roman" w:cs="Times New Roman"/>
      <w:i/>
      <w:iCs/>
      <w:color w:val="000000"/>
      <w:spacing w:val="2"/>
      <w:w w:val="100"/>
      <w:sz w:val="23"/>
      <w:szCs w:val="23"/>
      <w:shd w:fill="FFFFFF" w:val="clear"/>
      <w:lang w:val="ru-RU"/>
    </w:rPr>
  </w:style>
  <w:style w:type="character" w:styleId="Strong">
    <w:name w:val="Strong"/>
    <w:basedOn w:val="DefaultParagraphFont"/>
    <w:uiPriority w:val="99"/>
    <w:qFormat/>
    <w:locked/>
    <w:rsid w:val="00772c05"/>
    <w:rPr>
      <w:b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BodyTextChar"/>
    <w:uiPriority w:val="99"/>
    <w:rsid w:val="000a5c19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ListParagraphChar"/>
    <w:uiPriority w:val="99"/>
    <w:qFormat/>
    <w:rsid w:val="002b4cf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" w:customStyle="1">
    <w:name w:val="Абзац списка1"/>
    <w:basedOn w:val="Normal"/>
    <w:uiPriority w:val="99"/>
    <w:qFormat/>
    <w:rsid w:val="007201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rsid w:val="006b59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" w:customStyle="1">
    <w:name w:val="Абзац списка2"/>
    <w:basedOn w:val="Normal"/>
    <w:uiPriority w:val="99"/>
    <w:qFormat/>
    <w:rsid w:val="00b3408a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iPriority w:val="99"/>
    <w:qFormat/>
    <w:rsid w:val="001226bb"/>
    <w:pPr>
      <w:spacing w:lineRule="auto" w:line="240" w:beforeAutospacing="1" w:afterAutospacing="1"/>
    </w:pPr>
    <w:rPr>
      <w:rFonts w:ascii="Times New Roman" w:hAnsi="Times New Roman"/>
      <w:sz w:val="24"/>
      <w:szCs w:val="20"/>
      <w:lang w:eastAsia="ru-RU"/>
    </w:rPr>
  </w:style>
  <w:style w:type="paragraph" w:styleId="NoSpacing">
    <w:name w:val="No Spacing"/>
    <w:uiPriority w:val="99"/>
    <w:qFormat/>
    <w:rsid w:val="001226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21" w:customStyle="1">
    <w:name w:val="Body Text 21"/>
    <w:basedOn w:val="Normal"/>
    <w:uiPriority w:val="99"/>
    <w:qFormat/>
    <w:rsid w:val="004e5a15"/>
    <w:pPr>
      <w:spacing w:lineRule="auto" w:line="240" w:before="0" w:after="0"/>
      <w:jc w:val="center"/>
    </w:pPr>
    <w:rPr>
      <w:rFonts w:ascii="Bookman Old Style" w:hAnsi="Bookman Old Style" w:eastAsia="Times New Roman"/>
      <w:b/>
      <w:sz w:val="32"/>
      <w:szCs w:val="20"/>
      <w:lang w:eastAsia="ru-RU"/>
    </w:rPr>
  </w:style>
  <w:style w:type="paragraph" w:styleId="Style25">
    <w:name w:val="Footnote Text"/>
    <w:basedOn w:val="Normal"/>
    <w:link w:val="FootnoteTextChar"/>
    <w:uiPriority w:val="99"/>
    <w:rsid w:val="002130a0"/>
    <w:pPr>
      <w:spacing w:lineRule="auto" w:line="240" w:before="0" w:after="0"/>
    </w:pPr>
    <w:rPr>
      <w:sz w:val="20"/>
      <w:szCs w:val="20"/>
    </w:rPr>
  </w:style>
  <w:style w:type="paragraph" w:styleId="3" w:customStyle="1">
    <w:name w:val="Абзац списка3"/>
    <w:basedOn w:val="Normal"/>
    <w:uiPriority w:val="99"/>
    <w:qFormat/>
    <w:rsid w:val="005a1b8f"/>
    <w:pPr>
      <w:spacing w:lineRule="auto" w:line="240" w:before="0" w:after="0"/>
      <w:ind w:left="708" w:hanging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018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b556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6" w:customStyle="1">
    <w:name w:val="Прижатый влево"/>
    <w:basedOn w:val="Normal"/>
    <w:next w:val="Normal"/>
    <w:uiPriority w:val="99"/>
    <w:qFormat/>
    <w:rsid w:val="009c3038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Annotationtext">
    <w:name w:val="annotation text"/>
    <w:basedOn w:val="Normal"/>
    <w:link w:val="CommentTextChar"/>
    <w:uiPriority w:val="99"/>
    <w:qFormat/>
    <w:rsid w:val="00903108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ConsPlusTitle" w:customStyle="1">
    <w:name w:val="ConsPlusTitle"/>
    <w:uiPriority w:val="99"/>
    <w:qFormat/>
    <w:rsid w:val="001a26a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29">
    <w:name w:val="Обычный (веб)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99"/>
    <w:rsid w:val="005476fe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476f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sid w:val="005c65ab"/>
    <w:pPr>
      <w:jc w:val="center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s://disk.yandex.ru/edit/d/mmT6maKTLk6MY1FI4wDStCPegnqahzm72s0qoIz-cKg6RlBodVdPR0xIZw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1809</TotalTime>
  <Application>LibreOffice/7.3.4.2$Windows_X86_64 LibreOffice_project/728fec16bd5f605073805c3c9e7c4212a0120dc5</Application>
  <AppVersion>15.0000</AppVersion>
  <Pages>15</Pages>
  <Words>3916</Words>
  <Characters>29869</Characters>
  <CharactersWithSpaces>33473</CharactersWithSpaces>
  <Paragraphs>338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2020-02-04T10:14:00Z</dcterms:created>
  <dc:creator>Абдуллин</dc:creator>
  <dc:description/>
  <dc:language>ru-RU</dc:language>
  <cp:lastModifiedBy/>
  <cp:lastPrinted>2025-02-03T08:34:19Z</cp:lastPrinted>
  <dcterms:modified xsi:type="dcterms:W3CDTF">2025-02-03T15:01:52Z</dcterms:modified>
  <cp:revision>38</cp:revision>
  <dc:subject/>
  <dc:title>Отчет о достижении показателей, установленных планом мероприятий («дорожной картой»)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